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Samuel</w:t>
      </w:r>
      <w:r>
        <w:rPr>
          <w:lang w:val="pt_PT" w:bidi="pt_PT"/>
        </w:rPr>
      </w:r>
    </w:p>
    <w:p>
      <w:pPr/>
      <w:r>
        <w:rPr>
          <w:lang w:val="pt_PT" w:bidi="pt_PT"/>
        </w:rPr>
      </w:r>
      <w:r>
        <w:rPr>
          <w:lang w:val="pt_PT" w:bidi="pt_PT"/>
        </w:rPr>
        <w:t>O primeiro livro de Samuel</w:t>
      </w:r>
    </w:p>
    <w:p>
      <w:pPr>
        <w:pStyle w:val="Heading3"/>
      </w:pPr>
      <w:r>
        <w:rPr>
          <w:lang w:val="pt_PT" w:bidi="pt_PT"/>
        </w:rPr>
        <w:t>Propósito</w:t>
      </w:r>
    </w:p>
    <w:p>
      <w:pPr/>
      <w:r>
        <w:rPr>
          <w:lang w:val="pt_PT" w:bidi="pt_PT"/>
        </w:rPr>
      </w:r>
      <w:r>
        <w:rPr>
          <w:lang w:val="pt_PT" w:bidi="pt_PT"/>
        </w:rPr>
        <w:t>Relatar o estabelecimento da monarquia israelita e destacar o caráter diferente dos dois primeiros reis de Israel</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Registra eventos que ocorreram por volta de 1050–1011 a.C.</w:t>
      </w:r>
    </w:p>
    <w:p>
      <w:pPr>
        <w:pStyle w:val="Heading3"/>
      </w:pPr>
      <w:r>
        <w:rPr>
          <w:lang w:val="pt_PT" w:bidi="pt_PT"/>
        </w:rPr>
        <w:t>Cenário</w:t>
      </w:r>
    </w:p>
    <w:p>
      <w:pPr/>
      <w:r>
        <w:rPr>
          <w:lang w:val="pt_PT" w:bidi="pt_PT"/>
        </w:rPr>
      </w:r>
      <w:r>
        <w:rPr>
          <w:lang w:val="pt_PT" w:bidi="pt_PT"/>
        </w:rPr>
        <w:t>A transição do período dos juízes para a monarquia israelita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