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John</w:t>
      </w:r>
      <w:r>
        <w:rPr>
          <w:lang w:val="pt_PT" w:bidi="pt_PT"/>
        </w:rPr>
      </w:r>
    </w:p>
    <w:p>
      <w:pPr/>
      <w:r>
        <w:rPr>
          <w:lang w:val="pt_PT" w:bidi="pt_PT"/>
        </w:rPr>
      </w:r>
      <w:r>
        <w:rPr>
          <w:lang w:val="pt_PT" w:bidi="pt_PT"/>
        </w:rPr>
        <w:t>A segunda carta de João</w:t>
      </w:r>
    </w:p>
    <w:p>
      <w:pPr>
        <w:pStyle w:val="Heading3"/>
      </w:pPr>
      <w:r>
        <w:rPr>
          <w:lang w:val="pt_PT" w:bidi="pt_PT"/>
        </w:rPr>
        <w:t>Propósito</w:t>
      </w:r>
    </w:p>
    <w:p>
      <w:pPr/>
      <w:r>
        <w:rPr>
          <w:lang w:val="pt_PT" w:bidi="pt_PT"/>
        </w:rPr>
      </w:r>
      <w:r>
        <w:rPr>
          <w:lang w:val="pt_PT" w:bidi="pt_PT"/>
        </w:rPr>
        <w:t>Delinear a resposta apropriada aos falsos mestres e encorajar os crentes a amarem uns aos outros</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para uma comunidade de crentes — provavelmente na Ásia Menor — que já haviam encontrado falsos mestres ou provavelmente os encontrariam em breve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