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w:t>
      </w:r>
      <w:r>
        <w:rPr>
          <w:lang w:val="ru_RU" w:bidi="ru_RU"/>
        </w:rPr>
      </w:r>
    </w:p>
    <w:p>
      <w:pPr/>
      <w:r>
        <w:rPr>
          <w:lang w:val="ru_RU" w:bidi="ru_RU"/>
        </w:rPr>
      </w:r>
      <w:r>
        <w:rPr>
          <w:lang w:val="ru_RU" w:bidi="ru_RU"/>
        </w:rPr>
        <w:t>Книга Бытие</w:t>
      </w:r>
    </w:p>
    <w:p>
      <w:pPr>
        <w:pStyle w:val="Heading3"/>
      </w:pPr>
      <w:r>
        <w:rPr>
          <w:lang w:val="ru_RU" w:bidi="ru_RU"/>
        </w:rPr>
        <w:t>Цель</w:t>
      </w:r>
    </w:p>
    <w:p>
      <w:pPr/>
      <w:r>
        <w:rPr>
          <w:lang w:val="ru_RU" w:bidi="ru_RU"/>
        </w:rPr>
      </w:r>
      <w:r>
        <w:rPr>
          <w:lang w:val="ru_RU" w:bidi="ru_RU"/>
        </w:rPr>
        <w:t>Проследить становление Божьего плана по преодолению греха через Его избранный народ, Израиль.</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Записи первобытных событий и событий патриархального периода (ок. 2100–1700 гг. до Р.Х.)</w:t>
      </w:r>
    </w:p>
    <w:p>
      <w:pPr>
        <w:pStyle w:val="Heading3"/>
      </w:pPr>
      <w:r>
        <w:rPr>
          <w:lang w:val="ru_RU" w:bidi="ru_RU"/>
        </w:rPr>
        <w:t>Контекст</w:t>
      </w:r>
    </w:p>
    <w:p>
      <w:pPr/>
      <w:r>
        <w:rPr>
          <w:lang w:val="ru_RU" w:bidi="ru_RU"/>
        </w:rPr>
      </w:r>
      <w:r>
        <w:rPr>
          <w:lang w:val="ru_RU" w:bidi="ru_RU"/>
        </w:rPr>
        <w:t>Различные места на Ближнем Востоке; основное внимание уделяется патриархам во время их пребывания в Ханаане и Египте.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