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Паралипоменон</w:t>
      </w:r>
      <w:r>
        <w:rPr>
          <w:lang w:val="ru_RU" w:bidi="ru_RU"/>
        </w:rPr>
      </w:r>
    </w:p>
    <w:p>
      <w:pPr/>
      <w:r>
        <w:rPr>
          <w:lang w:val="ru_RU" w:bidi="ru_RU"/>
        </w:rPr>
      </w:r>
      <w:r>
        <w:rPr>
          <w:lang w:val="ru_RU" w:bidi="ru_RU"/>
        </w:rPr>
        <w:t>Первая книга Паралипоменон</w:t>
      </w:r>
    </w:p>
    <w:p>
      <w:pPr>
        <w:pStyle w:val="Heading3"/>
      </w:pPr>
      <w:r>
        <w:rPr>
          <w:lang w:val="ru_RU" w:bidi="ru_RU"/>
        </w:rPr>
        <w:t>Цель</w:t>
      </w:r>
    </w:p>
    <w:p>
      <w:pPr/>
      <w:r>
        <w:rPr>
          <w:lang w:val="ru_RU" w:bidi="ru_RU"/>
        </w:rPr>
      </w:r>
      <w:r>
        <w:rPr>
          <w:lang w:val="ru_RU" w:bidi="ru_RU"/>
        </w:rPr>
        <w:t>Вселить надежду, – в основном, обращением к обетованию Давида – к евреям, которые вернулись на свою землю, но жили в порабощении.</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Вероятно, написано около 400 года до Р.Х. Большинство описанных событий произошли приблизительно в 1011–971 гг. до Р.Х.</w:t>
      </w:r>
    </w:p>
    <w:p>
      <w:pPr>
        <w:pStyle w:val="Heading3"/>
      </w:pPr>
      <w:r>
        <w:rPr>
          <w:lang w:val="ru_RU" w:bidi="ru_RU"/>
        </w:rPr>
        <w:t>Контекст</w:t>
      </w:r>
    </w:p>
    <w:p>
      <w:pPr/>
      <w:r>
        <w:rPr>
          <w:lang w:val="ru_RU" w:bidi="ru_RU"/>
        </w:rPr>
      </w:r>
      <w:r>
        <w:rPr>
          <w:lang w:val="ru_RU" w:bidi="ru_RU"/>
        </w:rPr>
        <w:t>После изгнания Иудея была вновь заселена евреями, однако они все еще жили под чужеземным (персидским) владычеством; повествование, по сути, прослеживает правление Давида.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