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w:t>
      </w:r>
      <w:r>
        <w:rPr>
          <w:lang w:val="ru_RU" w:bidi="ru_RU"/>
        </w:rPr>
      </w:r>
    </w:p>
    <w:p>
      <w:pPr/>
      <w:r>
        <w:rPr>
          <w:lang w:val="ru_RU" w:bidi="ru_RU"/>
        </w:rPr>
      </w:r>
      <w:r>
        <w:rPr>
          <w:lang w:val="ru_RU" w:bidi="ru_RU"/>
        </w:rPr>
        <w:t>Вторая книга Паралипоменон</w:t>
      </w:r>
    </w:p>
    <w:p>
      <w:pPr>
        <w:pStyle w:val="Heading3"/>
      </w:pPr>
      <w:r>
        <w:rPr>
          <w:lang w:val="ru_RU" w:bidi="ru_RU"/>
        </w:rPr>
        <w:t>Цель</w:t>
      </w:r>
    </w:p>
    <w:p>
      <w:pPr/>
      <w:r>
        <w:rPr>
          <w:lang w:val="ru_RU" w:bidi="ru_RU"/>
        </w:rPr>
      </w:r>
      <w:r>
        <w:rPr>
          <w:lang w:val="ru_RU" w:bidi="ru_RU"/>
        </w:rPr>
        <w:t>Дать читателям надежду на восстановление Израильского царства, характеризующегося правильным поклонением.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Описанные события произошли приблизительно в 971–538 гг. до Р.Х.</w:t>
      </w:r>
    </w:p>
    <w:p>
      <w:pPr>
        <w:pStyle w:val="Heading3"/>
      </w:pPr>
      <w:r>
        <w:rPr>
          <w:lang w:val="ru_RU" w:bidi="ru_RU"/>
        </w:rPr>
        <w:t>Контекст</w:t>
      </w:r>
    </w:p>
    <w:p>
      <w:pPr/>
      <w:r>
        <w:rPr>
          <w:lang w:val="ru_RU" w:bidi="ru_RU"/>
        </w:rPr>
      </w:r>
      <w:r>
        <w:rPr>
          <w:lang w:val="ru_RU" w:bidi="ru_RU"/>
        </w:rPr>
        <w:t>Иудея после периода изгнания; времена персидского правления; повествование начинается с правления Соломона и заканчивается возвещением Кира, разрешающим народу вернуться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