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Segunda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Infundir esperanza en medio de la persecución</w:t>
      </w:r>
    </w:p>
    <w:p>
      <w:pPr>
        <w:pStyle w:val="ListNumber"/>
        <w:spacing w:line="240" w:lineRule="auto"/>
        <w:ind w:left="720"/>
      </w:pPr>
      <w:r>
        <w:rPr>
          <w:lang w:val="es_ES" w:bidi="es_ES"/>
        </w:rPr>
      </w:r>
      <w:r>
        <w:rPr>
          <w:lang w:val="es_ES" w:bidi="es_ES"/>
        </w:rPr>
        <w:t>Abordar la enseñanza falsa y la ociosidad en la comunidad</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51 d.C.</w:t>
      </w:r>
    </w:p>
    <w:p>
      <w:pPr>
        <w:pStyle w:val="Heading3"/>
      </w:pPr>
      <w:r>
        <w:rPr>
          <w:lang w:val="es_ES" w:bidi="es_ES"/>
        </w:rPr>
        <w:t>Contexto</w:t>
      </w:r>
    </w:p>
    <w:p>
      <w:pPr/>
      <w:r>
        <w:rPr>
          <w:lang w:val="es_ES" w:bidi="es_ES"/>
        </w:rPr>
      </w:r>
      <w:r>
        <w:rPr>
          <w:lang w:val="es_ES" w:bidi="es_ES"/>
        </w:rPr>
        <w:t>Escrito poco después de 1 Tesalonicenses, tras el aumento de la persecución en Tesalónica y la aparición de falsas enseñanzas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