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Waraka wa Pili wa Yohana</w:t>
      </w:r>
    </w:p>
    <w:p>
      <w:pPr>
        <w:pStyle w:val="Heading3"/>
      </w:pPr>
      <w:r>
        <w:rPr>
          <w:lang w:val="sw_KE" w:bidi="sw_KE"/>
        </w:rPr>
        <w:t>Kusudi</w:t>
      </w:r>
    </w:p>
    <w:p>
      <w:pPr/>
      <w:r>
        <w:rPr>
          <w:lang w:val="sw_KE" w:bidi="sw_KE"/>
        </w:rPr>
      </w:r>
      <w:r>
        <w:rPr>
          <w:lang w:val="sw_KE" w:bidi="sw_KE"/>
        </w:rPr>
        <w:t>Kutoa muhtasari wa itikio mwafaka kwa walimu wa uongo na kuwahimiza waumini kupendana</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jamii ya waumini, yamkini walioshi katika Asia Ndogo, ambao walikuwa tayari wamekutana na walimu wa uongo au walikuwa wanaelekea kukutana nao hivi karibuni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