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Resource: ملاحظات الدراسة - ملخصات مقدمات الكتب (تينديل)</w:t>
      </w: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License Information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ملاحظات الدراسة - ملخصات مقدمات الكتب (تينديل)</w:t>
      </w:r>
      <w:r>
        <w:rPr>
          <w:lang w:val="ar_AE" w:bidi="ar_AE"/>
        </w:rPr>
        <w:t xml:space="preserve"> (Arabic) is based on</w:t>
      </w:r>
      <w:r>
        <w:rPr>
          <w:lang w:val="ar_AE" w:bidi="ar_AE"/>
        </w:rPr>
        <w:t xml:space="preserve">: </w:t>
      </w:r>
      <w:r>
        <w:rPr>
          <w:lang w:val="ar_AE" w:bidi="ar_AE"/>
        </w:rPr>
        <w:t>Tyndale Open Study Notes</w:t>
      </w:r>
      <w:r>
        <w:rPr>
          <w:lang w:val="ar_AE" w:bidi="ar_AE"/>
        </w:rPr>
        <w:t xml:space="preserve">, </w:t>
      </w:r>
      <w:hyperlink r:id="rId13">
        <w:r>
          <w:rPr>
            <w:lang w:val="ar_AE" w:bidi="ar_AE"/>
          </w:rPr>
          <w:rPr>
            <w:color w:val="0000EE"/>
            <w:u w:val="single"/>
          </w:rPr>
          <w:t>Tyndale House Publishers</w:t>
        </w:r>
      </w:hyperlink>
      <w:r>
        <w:rPr>
          <w:lang w:val="ar_AE" w:bidi="ar_AE"/>
        </w:rPr>
        <w:t xml:space="preserve">, 2019, which is licensed under a </w:t>
      </w:r>
      <w:hyperlink r:id="rId14">
        <w:r>
          <w:rPr>
            <w:lang w:val="ar_AE" w:bidi="ar_AE"/>
          </w:rPr>
          <w:rPr>
            <w:color w:val="0000EE"/>
            <w:u w:val="single"/>
          </w:rPr>
          <w:t>CC BY-SA 4.0 license</w:t>
        </w:r>
      </w:hyperlink>
      <w:r>
        <w:rPr>
          <w:lang w:val="ar_AE" w:bidi="ar_AE"/>
        </w:rPr>
        <w:t>.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This PDF version is provided under the same license.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pStyle w:val="Heading1"/>
        <w:bidi/>
      </w:pPr>
      <w:r>
        <w:rPr>
          <w:lang w:val="ar_AE" w:bidi="ar_AE"/>
        </w:rPr>
        <w:t>ملاحظات الدراسة - ملخصات مقدمات الكتب (تينديل)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LAM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i/>
          <w:lang w:val="ar_AE" w:bidi="ar_AE"/>
        </w:rPr>
        <w:t>سفر مراثي إرميا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سفر مراثي إرميا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سِفر مراثي إرميا</w:t>
      </w:r>
    </w:p>
    <w:p>
      <w:pPr>
        <w:pStyle w:val="Heading3"/>
        <w:bidi/>
      </w:pPr>
      <w:r>
        <w:rPr>
          <w:lang w:val="ar_AE" w:bidi="ar_AE"/>
        </w:rPr>
        <w:t>الهدف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التعبير عن الحزن العميق على خراب أورشليم، وتقديم لمحة رجاء لشعب الله</w:t>
      </w:r>
    </w:p>
    <w:p>
      <w:pPr>
        <w:pStyle w:val="Heading3"/>
        <w:bidi/>
      </w:pPr>
      <w:r>
        <w:rPr>
          <w:lang w:val="ar_AE" w:bidi="ar_AE"/>
        </w:rPr>
        <w:t>الكاتب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على الأرجح إرميا</w:t>
      </w:r>
    </w:p>
    <w:p>
      <w:pPr>
        <w:pStyle w:val="Heading3"/>
        <w:bidi/>
      </w:pPr>
      <w:r>
        <w:rPr>
          <w:lang w:val="ar_AE" w:bidi="ar_AE"/>
        </w:rPr>
        <w:t>الزمن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نحو 586 قبل الميلاد</w:t>
      </w:r>
    </w:p>
    <w:p>
      <w:pPr>
        <w:pStyle w:val="Heading3"/>
        <w:bidi/>
      </w:pPr>
      <w:r>
        <w:rPr>
          <w:lang w:val="ar_AE" w:bidi="ar_AE"/>
        </w:rPr>
        <w:t>السياق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ما بعد الغزو البابلي، وخراب أورشليم، وسبي شعب يهوذا</w:t>
      </w:r>
      <w:r>
        <w:rPr>
          <w:lang w:val="ar_AE" w:bidi="ar_AE"/>
        </w:rPr>
      </w:r>
      <w:r>
        <w:rPr>
          <w:lang w:val="ar_AE" w:bidi="ar_AE"/>
        </w:rPr>
      </w:r>
    </w:p>
    <w:sectPr w:rsidR="00443E2A" w:rsidRPr="00443E2A" w:rsidSect="007E084E">
      <w:rtlGutter/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ar_AE" w:eastAsia="en-US" w:bidi="ar_AE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