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The Book of Nehemiah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reconstruction of Jerusalem’s walls </w:t>
      </w:r>
    </w:p>
    <w:p>
      <w:pPr>
        <w:pStyle w:val="ListNumber"/>
        <w:spacing w:line="240" w:lineRule="auto"/>
        <w:ind w:left="720"/>
      </w:pPr>
      <w:r>
        <w:rPr>
          <w:lang w:val="en_US" w:bidi="en_US"/>
        </w:rPr>
      </w:r>
      <w:r>
        <w:rPr>
          <w:lang w:val="en_US" w:bidi="en_US"/>
        </w:rPr>
        <w:t>To demonstrate God’s faithfulness to those dedicated to him</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445–430 BC</w:t>
      </w:r>
    </w:p>
    <w:p>
      <w:pPr>
        <w:pStyle w:val="Heading3"/>
      </w:pPr>
      <w:r>
        <w:rPr>
          <w:lang w:val="en_US" w:bidi="en_US"/>
        </w:rPr>
        <w:t>Setting</w:t>
      </w:r>
    </w:p>
    <w:p>
      <w:pPr/>
      <w:r>
        <w:rPr>
          <w:lang w:val="en_US" w:bidi="en_US"/>
        </w:rPr>
      </w:r>
      <w:r>
        <w:rPr>
          <w:lang w:val="en_US" w:bidi="en_US"/>
        </w:rPr>
        <w:t>Jerusalem, approximately fifteen years after Ezra had arrived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