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Jonas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Jonas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Jonas</w:t>
      </w:r>
    </w:p>
    <w:p>
      <w:pPr>
        <w:pStyle w:val="Heading3"/>
      </w:pPr>
      <w:r>
        <w:rPr>
          <w:lang w:val="fr_FR" w:bidi="fr_FR"/>
        </w:rPr>
        <w:t>Objectif</w:t>
      </w:r>
    </w:p>
    <w:p>
      <w:pPr/>
      <w:r>
        <w:rPr>
          <w:lang w:val="fr_FR" w:bidi="fr_FR"/>
        </w:rPr>
      </w:r>
      <w:r>
        <w:rPr>
          <w:lang w:val="fr_FR" w:bidi="fr_FR"/>
        </w:rPr>
        <w:t>Récit illustrant la vaste étendue de la souveraineté et du salut de Dieu.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Nous ne savons pas qui a écrit le livre de Jonas.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Ce livre a été écrit vers 755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Ce livre a été écrit à une époque où l’influence assyrienne en Israël avait temporairement diminué, comme c'était le cas pendant le règne de Jéroboam II.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