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Resource: Maelezo ya Masomo - Muhtasari wa Utangulizi wa Vitabu (Tyndale)</w:t>
      </w:r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License Information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Maelezo ya Masomo - Muhtasari wa Utangulizi wa Vitabu (Tyndale)</w:t>
      </w:r>
      <w:r>
        <w:rPr>
          <w:lang w:val="sw_KE" w:bidi="sw_KE"/>
        </w:rPr>
        <w:t xml:space="preserve"> (Swahili) is based on</w:t>
      </w:r>
      <w:r>
        <w:rPr>
          <w:lang w:val="sw_KE" w:bidi="sw_KE"/>
        </w:rPr>
        <w:t xml:space="preserve">: </w:t>
      </w:r>
      <w:r>
        <w:rPr>
          <w:lang w:val="sw_KE" w:bidi="sw_KE"/>
        </w:rPr>
        <w:t>Tyndale Open Study Notes</w:t>
      </w:r>
      <w:r>
        <w:rPr>
          <w:lang w:val="sw_KE" w:bidi="sw_KE"/>
        </w:rPr>
        <w:t xml:space="preserve">, </w:t>
      </w:r>
      <w:hyperlink r:id="rId13">
        <w:r>
          <w:rPr>
            <w:lang w:val="sw_KE" w:bidi="sw_KE"/>
          </w:rPr>
          <w:rPr>
            <w:color w:val="0000EE"/>
            <w:u w:val="single"/>
          </w:rPr>
          <w:t>Tyndale House Publishers</w:t>
        </w:r>
      </w:hyperlink>
      <w:r>
        <w:rPr>
          <w:lang w:val="sw_KE" w:bidi="sw_KE"/>
        </w:rPr>
        <w:t xml:space="preserve">, 2019, which is licensed under a </w:t>
      </w:r>
      <w:hyperlink r:id="rId14">
        <w:r>
          <w:rPr>
            <w:lang w:val="sw_KE" w:bidi="sw_KE"/>
          </w:rPr>
          <w:rPr>
            <w:color w:val="0000EE"/>
            <w:u w:val="single"/>
          </w:rPr>
          <w:t>CC BY-SA 4.0 license</w:t>
        </w:r>
      </w:hyperlink>
      <w:r>
        <w:rPr>
          <w:lang w:val="sw_KE" w:bidi="sw_KE"/>
        </w:rPr>
        <w:t>.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lang w:val="sw_KE" w:bidi="sw_KE"/>
        </w:rPr>
        <w:t>This PDF version is provided under the same license.</w:t>
      </w:r>
      <w:r>
        <w:rPr>
          <w:lang w:val="sw_KE" w:bidi="sw_KE"/>
        </w:rPr>
      </w:r>
      <w:r>
        <w:rPr>
          <w:lang w:val="sw_KE" w:bidi="sw_KE"/>
        </w:rPr>
      </w:r>
    </w:p>
    <w:p>
      <w:pPr>
        <w:pStyle w:val="Heading1"/>
      </w:pPr>
      <w:r>
        <w:rPr>
          <w:lang w:val="sw_KE" w:bidi="sw_KE"/>
        </w:rPr>
        <w:t>Maelezo ya Masomo - Muhtasari wa Utangulizi wa Vitabu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EST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i/>
          <w:lang w:val="sw_KE" w:bidi="sw_KE"/>
        </w:rPr>
        <w:t>Esta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lang w:val="sw_KE" w:bidi="sw_KE"/>
        </w:rPr>
        <w:t xml:space="preserve"> </w:t>
      </w:r>
      <w:r>
        <w:rPr>
          <w:lang w:val="sw_KE" w:bidi="sw_KE"/>
        </w:rPr>
      </w:r>
      <w:r>
        <w:rPr>
          <w:lang w:val="sw_KE" w:bidi="sw_K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Esta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lang w:val="sw_KE" w:bidi="sw_KE"/>
        </w:rPr>
        <w:t>Kitabu cha Esta</w:t>
      </w:r>
    </w:p>
    <w:p>
      <w:pPr>
        <w:pStyle w:val="Heading3"/>
      </w:pPr>
      <w:r>
        <w:rPr>
          <w:lang w:val="sw_KE" w:bidi="sw_KE"/>
        </w:rPr>
        <w:t>Kusudi</w:t>
      </w:r>
    </w:p>
    <w:p>
      <w:pPr/>
      <w:r>
        <w:rPr>
          <w:lang w:val="sw_KE" w:bidi="sw_KE"/>
        </w:rPr>
      </w:r>
      <w:r>
        <w:rPr>
          <w:lang w:val="sw_KE" w:bidi="sw_KE"/>
        </w:rPr>
        <w:t>Kuonyesha jinsi Mungu anavyowatunza watu wake na kufuatilia asili ya Sikukuu ya Purimu</w:t>
      </w:r>
    </w:p>
    <w:p>
      <w:pPr>
        <w:pStyle w:val="Heading3"/>
      </w:pPr>
      <w:r>
        <w:rPr>
          <w:lang w:val="sw_KE" w:bidi="sw_KE"/>
        </w:rPr>
        <w:t>Mwandishi</w:t>
      </w:r>
    </w:p>
    <w:p>
      <w:pPr/>
      <w:r>
        <w:rPr>
          <w:lang w:val="sw_KE" w:bidi="sw_KE"/>
        </w:rPr>
      </w:r>
      <w:r>
        <w:rPr>
          <w:lang w:val="sw_KE" w:bidi="sw_KE"/>
        </w:rPr>
        <w:t>Hajulikani</w:t>
      </w:r>
    </w:p>
    <w:p>
      <w:pPr>
        <w:pStyle w:val="Heading3"/>
      </w:pPr>
      <w:r>
        <w:rPr>
          <w:lang w:val="sw_KE" w:bidi="sw_KE"/>
        </w:rPr>
        <w:t>Tarehe</w:t>
      </w:r>
    </w:p>
    <w:p>
      <w:pPr/>
      <w:r>
        <w:rPr>
          <w:lang w:val="sw_KE" w:bidi="sw_KE"/>
        </w:rPr>
      </w:r>
      <w:r>
        <w:rPr>
          <w:lang w:val="sw_KE" w:bidi="sw_KE"/>
        </w:rPr>
        <w:t>Kinarekodi matukio ambayo yalitokea takriban mnamo 483–473 KK</w:t>
      </w:r>
    </w:p>
    <w:p>
      <w:pPr>
        <w:pStyle w:val="Heading3"/>
      </w:pPr>
      <w:r>
        <w:rPr>
          <w:lang w:val="sw_KE" w:bidi="sw_KE"/>
        </w:rPr>
        <w:t>Muktadha</w:t>
      </w:r>
    </w:p>
    <w:p>
      <w:pPr/>
      <w:r>
        <w:rPr>
          <w:lang w:val="sw_KE" w:bidi="sw_KE"/>
        </w:rPr>
      </w:r>
      <w:r>
        <w:rPr>
          <w:lang w:val="sw_KE" w:bidi="sw_KE"/>
        </w:rPr>
        <w:t>Mji mkuu wa Uajemi, Susa, wakati wa utawala wa Ahasuero, baada ya Wayahudi kadhaa kurudi Uyahudi.</w:t>
      </w:r>
      <w:r>
        <w:rPr>
          <w:lang w:val="sw_KE" w:bidi="sw_KE"/>
        </w:rPr>
      </w:r>
      <w:r>
        <w:rPr>
          <w:lang w:val="sw_KE" w:bidi="sw_KE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sw_KE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