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NUM</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العدد</w:t>
      </w:r>
      <w:r>
        <w:rPr>
          <w:rtl/>
          <w:cs/>
          <w:lang w:val="ar_AE" w:bidi="ar_AE"/>
        </w:rPr>
      </w:r>
    </w:p>
    <w:p>
      <w:pPr>
        <w:bidi/>
      </w:pPr>
      <w:r>
        <w:rPr>
          <w:rtl/>
          <w:cs/>
          <w:lang w:val="ar_AE" w:bidi="ar_AE"/>
        </w:rPr>
      </w:r>
      <w:r>
        <w:rPr>
          <w:rtl/>
          <w:cs/>
          <w:lang w:val="ar_AE" w:bidi="ar_AE"/>
        </w:rPr>
        <w:t>سِفر العدد</w:t>
      </w:r>
    </w:p>
    <w:p>
      <w:pPr>
        <w:pStyle w:val="Heading3"/>
        <w:bidi/>
      </w:pPr>
      <w:r>
        <w:rPr>
          <w:rtl/>
          <w:cs/>
          <w:lang w:val="ar_AE" w:bidi="ar_AE"/>
        </w:rPr>
        <w:t>الهدف</w:t>
      </w:r>
    </w:p>
    <w:p>
      <w:pPr>
        <w:bidi/>
      </w:pPr>
      <w:r>
        <w:rPr>
          <w:rtl/>
          <w:cs/>
          <w:lang w:val="ar_AE" w:bidi="ar_AE"/>
        </w:rPr>
      </w:r>
      <w:r>
        <w:rPr>
          <w:rtl/>
          <w:cs/>
          <w:lang w:val="ar_AE" w:bidi="ar_AE"/>
        </w:rPr>
        <w:t>لتوثيق الانتقال من الجيل غير الأمين الذي خَرَج من مصر إلى الجيل الذي سيدخل أرض الميعاد</w:t>
      </w:r>
    </w:p>
    <w:p>
      <w:pPr>
        <w:pStyle w:val="Heading3"/>
        <w:bidi/>
      </w:pPr>
      <w:r>
        <w:rPr>
          <w:rtl/>
          <w:cs/>
          <w:lang w:val="ar_AE" w:bidi="ar_AE"/>
        </w:rPr>
        <w:t>الكاتب</w:t>
      </w:r>
    </w:p>
    <w:p>
      <w:pPr>
        <w:bidi/>
      </w:pPr>
      <w:r>
        <w:rPr>
          <w:rtl/>
          <w:cs/>
          <w:lang w:val="ar_AE" w:bidi="ar_AE"/>
        </w:rPr>
      </w:r>
      <w:r>
        <w:rPr>
          <w:rtl/>
          <w:cs/>
          <w:lang w:val="ar_AE" w:bidi="ar_AE"/>
        </w:rPr>
        <w:t>موسى، بحسب التقليد</w:t>
      </w:r>
    </w:p>
    <w:p>
      <w:pPr>
        <w:pStyle w:val="Heading3"/>
        <w:bidi/>
      </w:pPr>
      <w:r>
        <w:rPr>
          <w:rtl/>
          <w:cs/>
          <w:lang w:val="ar_AE" w:bidi="ar_AE"/>
        </w:rPr>
        <w:t>الزمن</w:t>
      </w:r>
    </w:p>
    <w:p>
      <w:pPr>
        <w:bidi/>
      </w:pPr>
      <w:r>
        <w:rPr>
          <w:rtl/>
          <w:cs/>
          <w:lang w:val="ar_AE" w:bidi="ar_AE"/>
        </w:rPr>
      </w:r>
      <w:r>
        <w:rPr>
          <w:rtl/>
          <w:cs/>
          <w:lang w:val="ar_AE" w:bidi="ar_AE"/>
        </w:rPr>
        <w:t>يسجِّل الأحداث التي حدثت على الأرجح في الفترة ما بين عامي 1445 و1406 قبل الميلاد أو 1269–1230 قبل الميلاد</w:t>
      </w:r>
    </w:p>
    <w:p>
      <w:pPr>
        <w:pStyle w:val="Heading3"/>
        <w:bidi/>
      </w:pPr>
      <w:r>
        <w:rPr>
          <w:rtl/>
          <w:cs/>
          <w:lang w:val="ar_AE" w:bidi="ar_AE"/>
        </w:rPr>
        <w:t>السياق</w:t>
      </w:r>
    </w:p>
    <w:p>
      <w:pPr>
        <w:bidi/>
      </w:pPr>
      <w:r>
        <w:rPr>
          <w:rtl/>
          <w:cs/>
          <w:lang w:val="ar_AE" w:bidi="ar_AE"/>
        </w:rPr>
      </w:r>
      <w:r>
        <w:rPr>
          <w:rtl/>
          <w:cs/>
          <w:lang w:val="ar_AE" w:bidi="ar_AE"/>
        </w:rPr>
        <w:t>يبدأ السفر ببني إسرائيل في سيناء، ويتتبع مسيرتهم عبر البريَّة، وينتهي بهم في عربات موآب على أعتاب أرض الميعاد.</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