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صموئيل الثاني</w:t>
      </w:r>
      <w:r>
        <w:rPr>
          <w:rtl/>
          <w:cs/>
          <w:lang w:val="ar_AE" w:bidi="ar_AE"/>
        </w:rPr>
      </w:r>
    </w:p>
    <w:p>
      <w:pPr>
        <w:bidi/>
      </w:pPr>
      <w:r>
        <w:rPr>
          <w:rtl/>
          <w:cs/>
          <w:lang w:val="ar_AE" w:bidi="ar_AE"/>
        </w:rPr>
      </w:r>
      <w:r>
        <w:rPr>
          <w:rtl/>
          <w:cs/>
          <w:lang w:val="ar_AE" w:bidi="ar_AE"/>
        </w:rPr>
        <w:t>سِفر صموئيل الثاني</w:t>
      </w:r>
    </w:p>
    <w:p>
      <w:pPr>
        <w:pStyle w:val="Heading3"/>
        <w:bidi/>
      </w:pPr>
      <w:r>
        <w:rPr>
          <w:rtl/>
          <w:cs/>
          <w:lang w:val="ar_AE" w:bidi="ar_AE"/>
        </w:rPr>
        <w:t>الهدف</w:t>
      </w:r>
    </w:p>
    <w:p>
      <w:pPr>
        <w:bidi/>
      </w:pPr>
      <w:r>
        <w:rPr>
          <w:rtl/>
          <w:cs/>
          <w:lang w:val="ar_AE" w:bidi="ar_AE"/>
        </w:rPr>
      </w:r>
      <w:r>
        <w:rPr>
          <w:rtl/>
          <w:cs/>
          <w:lang w:val="ar_AE" w:bidi="ar_AE"/>
        </w:rPr>
        <w:t>وصف عهد داود وإظهار أمانة الله تجاه نسل داود</w:t>
      </w:r>
    </w:p>
    <w:p>
      <w:pPr>
        <w:pStyle w:val="Heading3"/>
        <w:bidi/>
      </w:pPr>
      <w:r>
        <w:rPr>
          <w:rtl/>
          <w:cs/>
          <w:lang w:val="ar_AE" w:bidi="ar_AE"/>
        </w:rPr>
        <w:t>الكاتب</w:t>
      </w:r>
    </w:p>
    <w:p>
      <w:pPr>
        <w:bidi/>
      </w:pPr>
      <w:r>
        <w:rPr>
          <w:rtl/>
          <w:cs/>
          <w:lang w:val="ar_AE" w:bidi="ar_AE"/>
        </w:rPr>
      </w:r>
      <w:r>
        <w:rPr>
          <w:rtl/>
          <w:cs/>
          <w:lang w:val="ar_AE" w:bidi="ar_AE"/>
        </w:rPr>
        <w:t>مجهول</w:t>
      </w:r>
    </w:p>
    <w:p>
      <w:pPr>
        <w:pStyle w:val="Heading3"/>
        <w:bidi/>
      </w:pPr>
      <w:r>
        <w:rPr>
          <w:rtl/>
          <w:cs/>
          <w:lang w:val="ar_AE" w:bidi="ar_AE"/>
        </w:rPr>
        <w:t>الزمن</w:t>
      </w:r>
    </w:p>
    <w:p>
      <w:pPr>
        <w:bidi/>
      </w:pPr>
      <w:r>
        <w:rPr>
          <w:rtl/>
          <w:cs/>
          <w:lang w:val="ar_AE" w:bidi="ar_AE"/>
        </w:rPr>
      </w:r>
      <w:r>
        <w:rPr>
          <w:rtl/>
          <w:cs/>
          <w:lang w:val="ar_AE" w:bidi="ar_AE"/>
        </w:rPr>
        <w:t>يسجِّل الأحداث التي وقعت نحو 1011–971 قبل الميلاد</w:t>
      </w:r>
    </w:p>
    <w:p>
      <w:pPr>
        <w:pStyle w:val="Heading3"/>
        <w:bidi/>
      </w:pPr>
      <w:r>
        <w:rPr>
          <w:rtl/>
          <w:cs/>
          <w:lang w:val="ar_AE" w:bidi="ar_AE"/>
        </w:rPr>
        <w:t>السياق</w:t>
      </w:r>
    </w:p>
    <w:p>
      <w:pPr>
        <w:bidi/>
      </w:pPr>
      <w:r>
        <w:rPr>
          <w:rtl/>
          <w:cs/>
          <w:lang w:val="ar_AE" w:bidi="ar_AE"/>
        </w:rPr>
      </w:r>
      <w:r>
        <w:rPr>
          <w:rtl/>
          <w:cs/>
          <w:lang w:val="ar_AE" w:bidi="ar_AE"/>
        </w:rPr>
        <w:t>بعد موت شاول، سعى داود إلى تثبيت عرشه على إسرائيل بالكامِل وتوسيع الأراضي الإسرائيلية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