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ECC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الجامعة</w:t>
      </w:r>
      <w:r>
        <w:rPr>
          <w:rtl/>
          <w:cs/>
          <w:lang w:val="ar_AE" w:bidi="ar_AE"/>
        </w:rPr>
      </w:r>
    </w:p>
    <w:p>
      <w:pPr>
        <w:bidi/>
      </w:pPr>
      <w:r>
        <w:rPr>
          <w:rtl/>
          <w:cs/>
          <w:lang w:val="ar_AE" w:bidi="ar_AE"/>
        </w:rPr>
      </w:r>
      <w:r>
        <w:rPr>
          <w:rtl/>
          <w:cs/>
          <w:lang w:val="ar_AE" w:bidi="ar_AE"/>
        </w:rPr>
        <w:t>سِفر الجامعة</w:t>
      </w:r>
    </w:p>
    <w:p>
      <w:pPr>
        <w:pStyle w:val="Heading3"/>
        <w:bidi/>
      </w:pPr>
      <w:r>
        <w:rPr>
          <w:rtl/>
          <w:cs/>
          <w:lang w:val="ar_AE" w:bidi="ar_AE"/>
        </w:rPr>
        <w:t>الهدف</w:t>
      </w:r>
    </w:p>
    <w:p>
      <w:pPr>
        <w:bidi/>
      </w:pPr>
      <w:r>
        <w:rPr>
          <w:rtl/>
          <w:cs/>
          <w:lang w:val="ar_AE" w:bidi="ar_AE"/>
        </w:rPr>
      </w:r>
      <w:r>
        <w:rPr>
          <w:rtl/>
          <w:cs/>
          <w:lang w:val="ar_AE" w:bidi="ar_AE"/>
        </w:rPr>
        <w:t>التأمل في معنى الحياة والتمتُّع بها</w:t>
      </w:r>
    </w:p>
    <w:p>
      <w:pPr>
        <w:pStyle w:val="Heading3"/>
        <w:bidi/>
      </w:pPr>
      <w:r>
        <w:rPr>
          <w:rtl/>
          <w:cs/>
          <w:lang w:val="ar_AE" w:bidi="ar_AE"/>
        </w:rPr>
        <w:t>الكاتب</w:t>
      </w:r>
    </w:p>
    <w:p>
      <w:pPr>
        <w:bidi/>
      </w:pPr>
      <w:r>
        <w:rPr>
          <w:rtl/>
          <w:cs/>
          <w:lang w:val="ar_AE" w:bidi="ar_AE"/>
        </w:rPr>
      </w:r>
      <w:r>
        <w:rPr>
          <w:rtl/>
          <w:cs/>
          <w:lang w:val="ar_AE" w:bidi="ar_AE"/>
        </w:rPr>
        <w:t>سليمان</w:t>
      </w:r>
    </w:p>
    <w:p>
      <w:pPr>
        <w:pStyle w:val="Heading3"/>
        <w:bidi/>
      </w:pPr>
      <w:r>
        <w:rPr>
          <w:rtl/>
          <w:cs/>
          <w:lang w:val="ar_AE" w:bidi="ar_AE"/>
        </w:rPr>
        <w:t>الزمن</w:t>
      </w:r>
    </w:p>
    <w:p>
      <w:pPr>
        <w:bidi/>
      </w:pPr>
      <w:r>
        <w:rPr>
          <w:rtl/>
          <w:cs/>
          <w:lang w:val="ar_AE" w:bidi="ar_AE"/>
        </w:rPr>
      </w:r>
      <w:r>
        <w:rPr>
          <w:rtl/>
          <w:cs/>
          <w:lang w:val="ar_AE" w:bidi="ar_AE"/>
        </w:rPr>
        <w:t>نحو 971–931 قبل الميلاد</w:t>
      </w:r>
    </w:p>
    <w:p>
      <w:pPr>
        <w:pStyle w:val="Heading3"/>
        <w:bidi/>
      </w:pPr>
      <w:r>
        <w:rPr>
          <w:rtl/>
          <w:cs/>
          <w:lang w:val="ar_AE" w:bidi="ar_AE"/>
        </w:rPr>
        <w:t>السياق</w:t>
      </w:r>
    </w:p>
    <w:p>
      <w:pPr>
        <w:bidi/>
      </w:pPr>
      <w:r>
        <w:rPr>
          <w:rtl/>
          <w:cs/>
          <w:lang w:val="ar_AE" w:bidi="ar_AE"/>
        </w:rPr>
      </w:r>
      <w:r>
        <w:rPr>
          <w:rtl/>
          <w:cs/>
          <w:lang w:val="ar_AE" w:bidi="ar_AE"/>
        </w:rPr>
        <w:t>عهد الملك سليمان المزدهر بثراء فاحش، ولكنه على ما يبدو غير مُرضٍ</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