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MAL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ملاخي</w:t>
      </w:r>
      <w:r>
        <w:rPr>
          <w:rtl/>
          <w:cs/>
          <w:lang w:val="ar_AE" w:bidi="ar_AE"/>
        </w:rPr>
      </w:r>
    </w:p>
    <w:p>
      <w:pPr>
        <w:bidi/>
      </w:pPr>
      <w:r>
        <w:rPr>
          <w:rtl/>
          <w:cs/>
          <w:lang w:val="ar_AE" w:bidi="ar_AE"/>
        </w:rPr>
      </w:r>
      <w:r>
        <w:rPr>
          <w:rtl/>
          <w:cs/>
          <w:lang w:val="ar_AE" w:bidi="ar_AE"/>
        </w:rPr>
        <w:t>سِفر ملاخي</w:t>
      </w:r>
    </w:p>
    <w:p>
      <w:pPr>
        <w:pStyle w:val="Heading3"/>
        <w:bidi/>
      </w:pPr>
      <w:r>
        <w:rPr>
          <w:rtl/>
          <w:cs/>
          <w:lang w:val="ar_AE" w:bidi="ar_AE"/>
        </w:rPr>
        <w:t>الهدف</w:t>
      </w:r>
    </w:p>
    <w:p>
      <w:pPr>
        <w:bidi/>
      </w:pPr>
      <w:r>
        <w:rPr>
          <w:rtl/>
          <w:cs/>
          <w:lang w:val="ar_AE" w:bidi="ar_AE"/>
        </w:rPr>
      </w:r>
      <w:r>
        <w:rPr>
          <w:rtl/>
          <w:cs/>
          <w:lang w:val="ar_AE" w:bidi="ar_AE"/>
        </w:rPr>
        <w:t>إعادة توجيه الناس إلى السلوك الصحيح في العلاقات والعبادة</w:t>
      </w:r>
    </w:p>
    <w:p>
      <w:pPr>
        <w:pStyle w:val="Heading3"/>
        <w:bidi/>
      </w:pPr>
      <w:r>
        <w:rPr>
          <w:rtl/>
          <w:cs/>
          <w:lang w:val="ar_AE" w:bidi="ar_AE"/>
        </w:rPr>
        <w:t>الكاتب</w:t>
      </w:r>
    </w:p>
    <w:p>
      <w:pPr>
        <w:bidi/>
      </w:pPr>
      <w:r>
        <w:rPr>
          <w:rtl/>
          <w:cs/>
          <w:lang w:val="ar_AE" w:bidi="ar_AE"/>
        </w:rPr>
      </w:r>
      <w:r>
        <w:rPr>
          <w:rtl/>
          <w:cs/>
          <w:lang w:val="ar_AE" w:bidi="ar_AE"/>
        </w:rPr>
        <w:t>سفر ملاخي</w:t>
      </w:r>
    </w:p>
    <w:p>
      <w:pPr>
        <w:pStyle w:val="Heading3"/>
        <w:bidi/>
      </w:pPr>
      <w:r>
        <w:rPr>
          <w:rtl/>
          <w:cs/>
          <w:lang w:val="ar_AE" w:bidi="ar_AE"/>
        </w:rPr>
        <w:t>الزمن</w:t>
      </w:r>
    </w:p>
    <w:p>
      <w:pPr>
        <w:bidi/>
      </w:pPr>
      <w:r>
        <w:rPr>
          <w:rtl/>
          <w:cs/>
          <w:lang w:val="ar_AE" w:bidi="ar_AE"/>
        </w:rPr>
      </w:r>
      <w:r>
        <w:rPr>
          <w:rtl/>
          <w:cs/>
          <w:lang w:val="ar_AE" w:bidi="ar_AE"/>
        </w:rPr>
        <w:t>على الأرجح في وقت ما في القرن الخامس قبل الميلاد</w:t>
      </w:r>
    </w:p>
    <w:p>
      <w:pPr>
        <w:pStyle w:val="Heading3"/>
        <w:bidi/>
      </w:pPr>
      <w:r>
        <w:rPr>
          <w:rtl/>
          <w:cs/>
          <w:lang w:val="ar_AE" w:bidi="ar_AE"/>
        </w:rPr>
        <w:t>السياق</w:t>
      </w:r>
    </w:p>
    <w:p>
      <w:pPr>
        <w:bidi/>
      </w:pPr>
      <w:r>
        <w:rPr>
          <w:rtl/>
          <w:cs/>
          <w:lang w:val="ar_AE" w:bidi="ar_AE"/>
        </w:rPr>
      </w:r>
      <w:r>
        <w:rPr>
          <w:rtl/>
          <w:cs/>
          <w:lang w:val="ar_AE" w:bidi="ar_AE"/>
        </w:rPr>
        <w:t>بعد سبي يهوذا، أثناء الحكم الفارسي، بعد إعادة بناء الهيكل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