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2CO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الرسالة الثانية إلى أهل كورنثوس</w:t>
      </w:r>
      <w:r>
        <w:rPr>
          <w:rtl/>
          <w:cs/>
          <w:lang w:val="ar_AE" w:bidi="ar_AE"/>
        </w:rPr>
      </w:r>
    </w:p>
    <w:p>
      <w:pPr>
        <w:bidi/>
      </w:pPr>
      <w:r>
        <w:rPr>
          <w:rtl/>
          <w:cs/>
          <w:lang w:val="ar_AE" w:bidi="ar_AE"/>
        </w:rPr>
      </w:r>
      <w:r>
        <w:rPr>
          <w:rtl/>
          <w:cs/>
          <w:lang w:val="ar_AE" w:bidi="ar_AE"/>
        </w:rPr>
        <w:t>رسالة بولس الثانية إلى أهل كورنثوس</w:t>
      </w:r>
    </w:p>
    <w:p>
      <w:pPr>
        <w:pStyle w:val="Heading3"/>
        <w:bidi/>
      </w:pPr>
      <w:r>
        <w:rPr>
          <w:rtl/>
          <w:cs/>
          <w:lang w:val="ar_AE" w:bidi="ar_AE"/>
        </w:rPr>
        <w:t>الهدف</w:t>
      </w:r>
    </w:p>
    <w:p>
      <w:pPr>
        <w:bidi/>
      </w:pPr>
      <w:r>
        <w:rPr>
          <w:rtl/>
          <w:cs/>
          <w:lang w:val="ar_AE" w:bidi="ar_AE"/>
        </w:rPr>
      </w:r>
      <w:r>
        <w:rPr>
          <w:rtl/>
          <w:cs/>
          <w:lang w:val="ar_AE" w:bidi="ar_AE"/>
        </w:rPr>
        <w:t>الدفاع عن السلطان الرسولي لبولس وإخماد تأثير المعلِّمين الكَذَبة</w:t>
      </w:r>
    </w:p>
    <w:p>
      <w:pPr>
        <w:pStyle w:val="Heading3"/>
        <w:bidi/>
      </w:pPr>
      <w:r>
        <w:rPr>
          <w:rtl/>
          <w:cs/>
          <w:lang w:val="ar_AE" w:bidi="ar_AE"/>
        </w:rPr>
        <w:t>الكاتب</w:t>
      </w:r>
    </w:p>
    <w:p>
      <w:pPr>
        <w:bidi/>
      </w:pPr>
      <w:r>
        <w:rPr>
          <w:rtl/>
          <w:cs/>
          <w:lang w:val="ar_AE" w:bidi="ar_AE"/>
        </w:rPr>
      </w:r>
      <w:r>
        <w:rPr>
          <w:rtl/>
          <w:cs/>
          <w:lang w:val="ar_AE" w:bidi="ar_AE"/>
        </w:rPr>
        <w:t>بولس</w:t>
      </w:r>
    </w:p>
    <w:p>
      <w:pPr>
        <w:pStyle w:val="Heading3"/>
        <w:bidi/>
      </w:pPr>
      <w:r>
        <w:rPr>
          <w:rtl/>
          <w:cs/>
          <w:lang w:val="ar_AE" w:bidi="ar_AE"/>
        </w:rPr>
        <w:t>الزمن</w:t>
      </w:r>
    </w:p>
    <w:p>
      <w:pPr>
        <w:bidi/>
      </w:pPr>
      <w:r>
        <w:rPr>
          <w:rtl/>
          <w:cs/>
          <w:lang w:val="ar_AE" w:bidi="ar_AE"/>
        </w:rPr>
      </w:r>
      <w:r>
        <w:rPr>
          <w:rtl/>
          <w:cs/>
          <w:lang w:val="ar_AE" w:bidi="ar_AE"/>
        </w:rPr>
        <w:t>نحو عام 56 بعد الميلاد</w:t>
      </w:r>
    </w:p>
    <w:p>
      <w:pPr>
        <w:pStyle w:val="Heading3"/>
        <w:bidi/>
      </w:pPr>
      <w:r>
        <w:rPr>
          <w:rtl/>
          <w:cs/>
          <w:lang w:val="ar_AE" w:bidi="ar_AE"/>
        </w:rPr>
        <w:t>السياق</w:t>
      </w:r>
    </w:p>
    <w:p>
      <w:pPr>
        <w:bidi/>
      </w:pPr>
      <w:r>
        <w:rPr>
          <w:rtl/>
          <w:cs/>
          <w:lang w:val="ar_AE" w:bidi="ar_AE"/>
        </w:rPr>
      </w:r>
      <w:r>
        <w:rPr>
          <w:rtl/>
          <w:cs/>
          <w:lang w:val="ar_AE" w:bidi="ar_AE"/>
        </w:rPr>
        <w:t xml:space="preserve">كتبها بولس الرسول بعد تلقيه تقريرًا إيجابيًّا من تيطس عن توبة كنيسة كورنثوس، الذي جاء بعد رسالة سابقة (مفقودة الآن) أرسلها بولس إليهم (انظر </w:t>
      </w:r>
      <w:r>
        <w:rPr>
          <w:rtl/>
          <w:cs/>
          <w:lang w:val="ar_AE" w:bidi="ar_AE"/>
        </w:rPr>
        <w:t>2 كورنثوس 7: 5–9</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