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JUD</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يهوذا</w:t>
      </w:r>
      <w:r>
        <w:rPr>
          <w:rtl/>
          <w:cs/>
          <w:lang w:val="ar_AE" w:bidi="ar_AE"/>
        </w:rPr>
      </w:r>
    </w:p>
    <w:p>
      <w:pPr>
        <w:bidi/>
      </w:pPr>
      <w:r>
        <w:rPr>
          <w:rtl/>
          <w:cs/>
          <w:lang w:val="ar_AE" w:bidi="ar_AE"/>
        </w:rPr>
      </w:r>
      <w:r>
        <w:rPr>
          <w:rtl/>
          <w:cs/>
          <w:lang w:val="ar_AE" w:bidi="ar_AE"/>
        </w:rPr>
        <w:t>رسالة يهوذا</w:t>
      </w:r>
    </w:p>
    <w:p>
      <w:pPr>
        <w:pStyle w:val="Heading3"/>
        <w:bidi/>
      </w:pPr>
      <w:r>
        <w:rPr>
          <w:rtl/>
          <w:cs/>
          <w:lang w:val="ar_AE" w:bidi="ar_AE"/>
        </w:rPr>
        <w:t>الهدف</w:t>
      </w:r>
    </w:p>
    <w:p>
      <w:pPr>
        <w:bidi/>
      </w:pPr>
      <w:r>
        <w:rPr>
          <w:rtl/>
          <w:cs/>
          <w:lang w:val="ar_AE" w:bidi="ar_AE"/>
        </w:rPr>
      </w:r>
      <w:r>
        <w:rPr>
          <w:rtl/>
          <w:cs/>
          <w:lang w:val="ar_AE" w:bidi="ar_AE"/>
        </w:rPr>
        <w:t>لحض القراء على الدفاع عن إيمانهم في مواجهة التعاليم الكاذبة</w:t>
      </w:r>
    </w:p>
    <w:p>
      <w:pPr>
        <w:pStyle w:val="Heading3"/>
        <w:bidi/>
      </w:pPr>
      <w:r>
        <w:rPr>
          <w:rtl/>
          <w:cs/>
          <w:lang w:val="ar_AE" w:bidi="ar_AE"/>
        </w:rPr>
        <w:t>الكاتب</w:t>
      </w:r>
    </w:p>
    <w:p>
      <w:pPr>
        <w:bidi/>
      </w:pPr>
      <w:r>
        <w:rPr>
          <w:rtl/>
          <w:cs/>
          <w:lang w:val="ar_AE" w:bidi="ar_AE"/>
        </w:rPr>
      </w:r>
      <w:r>
        <w:rPr>
          <w:rtl/>
          <w:cs/>
          <w:lang w:val="ar_AE" w:bidi="ar_AE"/>
        </w:rPr>
        <w:t>يهوذا، أخو الرب يسوع</w:t>
      </w:r>
    </w:p>
    <w:p>
      <w:pPr>
        <w:pStyle w:val="Heading3"/>
        <w:bidi/>
      </w:pPr>
      <w:r>
        <w:rPr>
          <w:rtl/>
          <w:cs/>
          <w:lang w:val="ar_AE" w:bidi="ar_AE"/>
        </w:rPr>
        <w:t>الزمن</w:t>
      </w:r>
    </w:p>
    <w:p>
      <w:pPr>
        <w:bidi/>
      </w:pPr>
      <w:r>
        <w:rPr>
          <w:rtl/>
          <w:cs/>
          <w:lang w:val="ar_AE" w:bidi="ar_AE"/>
        </w:rPr>
      </w:r>
      <w:r>
        <w:rPr>
          <w:rtl/>
          <w:cs/>
          <w:lang w:val="ar_AE" w:bidi="ar_AE"/>
        </w:rPr>
        <w:t>غير معروف، ربما في الوقت نفسه تقريبًا الذي ظهرت فيه رسالة بطرس الثانية (أوائل ستينيات القرن الأول بعد الميلاد)</w:t>
      </w:r>
    </w:p>
    <w:p>
      <w:pPr>
        <w:pStyle w:val="Heading3"/>
        <w:bidi/>
      </w:pPr>
      <w:r>
        <w:rPr>
          <w:rtl/>
          <w:cs/>
          <w:lang w:val="ar_AE" w:bidi="ar_AE"/>
        </w:rPr>
        <w:t>السياق</w:t>
      </w:r>
    </w:p>
    <w:p>
      <w:pPr>
        <w:bidi/>
      </w:pPr>
      <w:r>
        <w:rPr>
          <w:rtl/>
          <w:cs/>
          <w:lang w:val="ar_AE" w:bidi="ar_AE"/>
        </w:rPr>
      </w:r>
      <w:r>
        <w:rPr>
          <w:rtl/>
          <w:cs/>
          <w:lang w:val="ar_AE" w:bidi="ar_AE"/>
        </w:rPr>
        <w:t>كُتبت إلى مجموعة من الكنائس التي تسلل إليها معلمون كذبة وشجعوا أسلوب حياة غير أخلاقي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