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offer praise and prayer to God</w:t>
      </w:r>
    </w:p>
    <w:p>
      <w:pPr>
        <w:pStyle w:val="ListNumber"/>
        <w:spacing w:line="240" w:lineRule="auto"/>
        <w:ind w:left="720"/>
      </w:pPr>
      <w:r>
        <w:rPr>
          <w:lang w:val="en_US" w:bidi="en_US"/>
        </w:rPr>
      </w:r>
      <w:r>
        <w:rPr>
          <w:lang w:val="en_US" w:bidi="en_US"/>
        </w:rPr>
        <w:t>To supply God’s people with texts for worship</w:t>
      </w:r>
    </w:p>
    <w:p>
      <w:pPr>
        <w:pStyle w:val="ListNumber"/>
        <w:spacing w:line="240" w:lineRule="auto"/>
        <w:ind w:left="720"/>
      </w:pPr>
      <w:r>
        <w:rPr>
          <w:lang w:val="en_US" w:bidi="en_US"/>
        </w:rPr>
      </w:r>
      <w:r>
        <w:rPr>
          <w:lang w:val="en_US" w:bidi="en_US"/>
        </w:rPr>
        <w:t>To reflect on God's sovereignty (the power and authority to rule) and some of life’s most difficult questions</w:t>
      </w:r>
    </w:p>
    <w:p>
      <w:pPr>
        <w:pStyle w:val="Heading3"/>
      </w:pPr>
      <w:r>
        <w:rPr>
          <w:lang w:val="en_US" w:bidi="en_US"/>
        </w:rPr>
        <w:t>Author</w:t>
      </w:r>
    </w:p>
    <w:p>
      <w:pPr/>
      <w:r>
        <w:rPr>
          <w:lang w:val="en_US" w:bidi="en_US"/>
        </w:rPr>
      </w:r>
      <w:r>
        <w:rPr>
          <w:lang w:val="en_US" w:bidi="en_US"/>
        </w:rPr>
        <w:t>Various; nearly half are linked with David</w:t>
      </w:r>
    </w:p>
    <w:p>
      <w:pPr>
        <w:pStyle w:val="Heading3"/>
      </w:pPr>
      <w:r>
        <w:rPr>
          <w:lang w:val="en_US" w:bidi="en_US"/>
        </w:rPr>
        <w:t>Date</w:t>
      </w:r>
    </w:p>
    <w:p>
      <w:pPr/>
      <w:r>
        <w:rPr>
          <w:lang w:val="en_US" w:bidi="en_US"/>
        </w:rPr>
      </w:r>
      <w:r>
        <w:rPr>
          <w:lang w:val="en_US" w:bidi="en_US"/>
        </w:rPr>
        <w:t>Written over many centuries. The process of collecting and editing was likely completed after the Babylonian exile</w:t>
      </w:r>
    </w:p>
    <w:p>
      <w:pPr>
        <w:pStyle w:val="Heading3"/>
      </w:pPr>
      <w:r>
        <w:rPr>
          <w:lang w:val="en_US" w:bidi="en_US"/>
        </w:rPr>
        <w:t>Setting</w:t>
      </w:r>
    </w:p>
    <w:p>
      <w:pPr/>
      <w:r>
        <w:rPr>
          <w:lang w:val="en_US" w:bidi="en_US"/>
        </w:rPr>
      </w:r>
      <w:r>
        <w:rPr>
          <w:lang w:val="en_US" w:bidi="en_US"/>
        </w:rPr>
        <w:t>Varied, but a setting after the Babylonian exile accounts for much of the editorial activity and grouping of the psalms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