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warn Judah of coming destruction</w:t>
      </w:r>
    </w:p>
    <w:p>
      <w:pPr>
        <w:pStyle w:val="ListNumber"/>
        <w:spacing w:line="240" w:lineRule="auto"/>
        <w:ind w:left="720"/>
      </w:pPr>
      <w:r>
        <w:rPr>
          <w:lang w:val="en_US" w:bidi="en_US"/>
        </w:rPr>
      </w:r>
      <w:r>
        <w:rPr>
          <w:lang w:val="en_US" w:bidi="en_US"/>
        </w:rPr>
        <w:t>To outline the reasons for God’s judgment</w:t>
      </w:r>
    </w:p>
    <w:p>
      <w:pPr>
        <w:pStyle w:val="ListNumber"/>
        <w:spacing w:line="240" w:lineRule="auto"/>
        <w:ind w:left="720"/>
      </w:pPr>
      <w:r>
        <w:rPr>
          <w:lang w:val="en_US" w:bidi="en_US"/>
        </w:rPr>
      </w:r>
      <w:r>
        <w:rPr>
          <w:lang w:val="en_US" w:bidi="en_US"/>
        </w:rPr>
        <w:t>To encourage renewed devotion to the Lord</w:t>
      </w:r>
    </w:p>
    <w:p>
      <w:pPr>
        <w:pStyle w:val="Heading3"/>
      </w:pPr>
      <w:r>
        <w:rPr>
          <w:lang w:val="en_US" w:bidi="en_US"/>
        </w:rPr>
        <w:t>Author</w:t>
      </w:r>
    </w:p>
    <w:p>
      <w:pPr/>
      <w:r>
        <w:rPr>
          <w:lang w:val="en_US" w:bidi="en_US"/>
        </w:rPr>
      </w:r>
      <w:r>
        <w:rPr>
          <w:lang w:val="en_US" w:bidi="en_US"/>
        </w:rPr>
        <w:t>Content originates from Jeremiah and is possibly written down by Baruch</w:t>
      </w:r>
    </w:p>
    <w:p>
      <w:pPr>
        <w:pStyle w:val="Heading3"/>
      </w:pPr>
      <w:r>
        <w:rPr>
          <w:lang w:val="en_US" w:bidi="en_US"/>
        </w:rPr>
        <w:t>Date</w:t>
      </w:r>
    </w:p>
    <w:p>
      <w:pPr/>
      <w:r>
        <w:rPr>
          <w:lang w:val="en_US" w:bidi="en_US"/>
        </w:rPr>
      </w:r>
      <w:r>
        <w:rPr>
          <w:lang w:val="en_US" w:bidi="en_US"/>
        </w:rPr>
        <w:t>Around 627–580 BC</w:t>
      </w:r>
    </w:p>
    <w:p>
      <w:pPr>
        <w:pStyle w:val="Heading3"/>
      </w:pPr>
      <w:r>
        <w:rPr>
          <w:lang w:val="en_US" w:bidi="en_US"/>
        </w:rPr>
        <w:t>Setting</w:t>
      </w:r>
    </w:p>
    <w:p>
      <w:pPr/>
      <w:r>
        <w:rPr>
          <w:lang w:val="en_US" w:bidi="en_US"/>
        </w:rPr>
      </w:r>
      <w:r>
        <w:rPr>
          <w:lang w:val="en_US" w:bidi="en_US"/>
        </w:rPr>
        <w:t>The final years of the kingdom of Judah, the invasion and destruction of Jerusalem by the Babylonians, and the initial years of Judah’s exile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