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 Summaries)</w:t>
      </w:r>
      <w:r>
        <w:rPr>
          <w:lang w:val="en_US" w:bidi="en_US"/>
        </w:rPr>
      </w:r>
    </w:p>
    <w:p>
      <w:pPr/>
      <w:r>
        <w:rPr>
          <w:lang w:val="en_US" w:bidi="en_US"/>
        </w:rPr>
      </w:r>
      <w:r>
        <w:rPr>
          <w:b/>
          <w:lang w:val="en_US" w:bidi="en_US"/>
        </w:rPr>
        <w:t>Aquifer Open Study Notes (Book Intro Summaries)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Haggai</w:t>
      </w:r>
      <w:r>
        <w:rPr>
          <w:lang w:val="en_US" w:bidi="en_US"/>
        </w:rPr>
      </w:r>
    </w:p>
    <w:p>
      <w:pPr>
        <w:pStyle w:val="Heading3"/>
      </w:pPr>
      <w:r>
        <w:rPr>
          <w:lang w:val="en_US" w:bidi="en_US"/>
        </w:rPr>
        <w:t>Purpose</w:t>
      </w:r>
    </w:p>
    <w:p>
      <w:pPr/>
      <w:r>
        <w:rPr>
          <w:lang w:val="en_US" w:bidi="en_US"/>
        </w:rPr>
      </w:r>
      <w:r>
        <w:rPr>
          <w:lang w:val="en_US" w:bidi="en_US"/>
        </w:rPr>
        <w:t>To encourage the Jewish people to resume temple reconstruction and to promote spiritual renewal</w:t>
      </w:r>
    </w:p>
    <w:p>
      <w:pPr>
        <w:pStyle w:val="Heading3"/>
      </w:pPr>
      <w:r>
        <w:rPr>
          <w:lang w:val="en_US" w:bidi="en_US"/>
        </w:rPr>
        <w:t>Author</w:t>
      </w:r>
    </w:p>
    <w:p>
      <w:pPr/>
      <w:r>
        <w:rPr>
          <w:lang w:val="en_US" w:bidi="en_US"/>
        </w:rPr>
      </w:r>
      <w:r>
        <w:rPr>
          <w:lang w:val="en_US" w:bidi="en_US"/>
        </w:rPr>
        <w:t>Haggai</w:t>
      </w:r>
    </w:p>
    <w:p>
      <w:pPr>
        <w:pStyle w:val="Heading3"/>
      </w:pPr>
      <w:r>
        <w:rPr>
          <w:lang w:val="en_US" w:bidi="en_US"/>
        </w:rPr>
        <w:t>Date</w:t>
      </w:r>
    </w:p>
    <w:p>
      <w:pPr/>
      <w:r>
        <w:rPr>
          <w:lang w:val="en_US" w:bidi="en_US"/>
        </w:rPr>
      </w:r>
      <w:r>
        <w:rPr>
          <w:lang w:val="en_US" w:bidi="en_US"/>
        </w:rPr>
        <w:t>520 BC</w:t>
      </w:r>
    </w:p>
    <w:p>
      <w:pPr>
        <w:pStyle w:val="Heading3"/>
      </w:pPr>
      <w:r>
        <w:rPr>
          <w:lang w:val="en_US" w:bidi="en_US"/>
        </w:rPr>
        <w:t>Setting</w:t>
      </w:r>
    </w:p>
    <w:p>
      <w:pPr/>
      <w:r>
        <w:rPr>
          <w:lang w:val="en_US" w:bidi="en_US"/>
        </w:rPr>
      </w:r>
      <w:r>
        <w:rPr>
          <w:lang w:val="en_US" w:bidi="en_US"/>
        </w:rPr>
        <w:t>Jerusalem, almost twenty years after Cyrus had allowed the Jewish people to return and rebuild the temple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