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(Book Intro Summaries)</w:t>
      </w:r>
      <w:r>
        <w:rPr>
          <w:lang w:val="en_US" w:bidi="en_US"/>
        </w:rPr>
      </w:r>
    </w:p>
    <w:p>
      <w:pPr/>
      <w:r>
        <w:rPr>
          <w:lang w:val="en_US" w:bidi="en_US"/>
        </w:rPr>
      </w:r>
      <w:r>
        <w:rPr>
          <w:b/>
          <w:lang w:val="en_US" w:bidi="en_US"/>
        </w:rPr>
        <w:t>Aquifer Open Study Notes (Book Intro Summaries)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EPH</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Ephesians</w:t>
      </w:r>
      <w:r>
        <w:rPr>
          <w:lang w:val="en_US" w:bidi="en_US"/>
        </w:rPr>
      </w:r>
    </w:p>
    <w:p>
      <w:pPr>
        <w:pStyle w:val="Heading3"/>
      </w:pPr>
      <w:r>
        <w:rPr>
          <w:lang w:val="en_US" w:bidi="en_US"/>
        </w:rPr>
        <w:t>Purpose</w:t>
      </w:r>
    </w:p>
    <w:p>
      <w:pPr>
        <w:pStyle w:val="ListNumber"/>
        <w:numPr>
          <w:ilvl w:val="0"/>
          <w:numId w:val="14"/>
        </w:numPr>
        <w:spacing w:line="240" w:lineRule="auto"/>
        <w:ind w:left="720"/>
      </w:pPr>
      <w:r>
        <w:rPr>
          <w:lang w:val="en_US" w:bidi="en_US"/>
        </w:rPr>
      </w:r>
      <w:r>
        <w:rPr>
          <w:lang w:val="en_US" w:bidi="en_US"/>
        </w:rPr>
        <w:t>To outline the scope of God’s grace</w:t>
      </w:r>
    </w:p>
    <w:p>
      <w:pPr>
        <w:pStyle w:val="ListNumber"/>
        <w:spacing w:line="240" w:lineRule="auto"/>
        <w:ind w:left="720"/>
      </w:pPr>
      <w:r>
        <w:rPr>
          <w:lang w:val="en_US" w:bidi="en_US"/>
        </w:rPr>
      </w:r>
      <w:r>
        <w:rPr>
          <w:lang w:val="en_US" w:bidi="en_US"/>
        </w:rPr>
        <w:t>To encourage unity among Jewish and Gentile (non-Jewish) believers,</w:t>
      </w:r>
    </w:p>
    <w:p>
      <w:pPr>
        <w:pStyle w:val="ListNumber"/>
        <w:spacing w:line="240" w:lineRule="auto"/>
        <w:ind w:left="720"/>
      </w:pPr>
      <w:r>
        <w:rPr>
          <w:lang w:val="en_US" w:bidi="en_US"/>
        </w:rPr>
      </w:r>
      <w:r>
        <w:rPr>
          <w:lang w:val="en_US" w:bidi="en_US"/>
        </w:rPr>
        <w:t>To demonstrate what new life in Christ looks like</w:t>
      </w:r>
    </w:p>
    <w:p>
      <w:pPr>
        <w:pStyle w:val="Heading3"/>
      </w:pPr>
      <w:r>
        <w:rPr>
          <w:lang w:val="en_US" w:bidi="en_US"/>
        </w:rPr>
        <w:t>Author</w:t>
      </w:r>
    </w:p>
    <w:p>
      <w:pPr/>
      <w:r>
        <w:rPr>
          <w:lang w:val="en_US" w:bidi="en_US"/>
        </w:rPr>
      </w:r>
      <w:r>
        <w:rPr>
          <w:lang w:val="en_US" w:bidi="en_US"/>
        </w:rPr>
        <w:t>Paul</w:t>
      </w:r>
    </w:p>
    <w:p>
      <w:pPr>
        <w:pStyle w:val="Heading3"/>
      </w:pPr>
      <w:r>
        <w:rPr>
          <w:lang w:val="en_US" w:bidi="en_US"/>
        </w:rPr>
        <w:t>Date</w:t>
      </w:r>
    </w:p>
    <w:p>
      <w:pPr/>
      <w:r>
        <w:rPr>
          <w:lang w:val="en_US" w:bidi="en_US"/>
        </w:rPr>
      </w:r>
      <w:r>
        <w:rPr>
          <w:lang w:val="en_US" w:bidi="en_US"/>
        </w:rPr>
        <w:t>Traditionally, AD 60–62, but possibly earlier, around AD 53–56</w:t>
      </w:r>
    </w:p>
    <w:p>
      <w:pPr>
        <w:pStyle w:val="Heading3"/>
      </w:pPr>
      <w:r>
        <w:rPr>
          <w:lang w:val="en_US" w:bidi="en_US"/>
        </w:rPr>
        <w:t>Setting</w:t>
      </w:r>
    </w:p>
    <w:p>
      <w:pPr/>
      <w:r>
        <w:rPr>
          <w:lang w:val="en_US" w:bidi="en_US"/>
        </w:rPr>
      </w:r>
      <w:r>
        <w:rPr>
          <w:lang w:val="en_US" w:bidi="en_US"/>
        </w:rPr>
        <w:t>Written while Paul was in prison, probably either in Rome or Ephesus. By this time, the good news about Jesus had spread throughout Asia Minor. The believers in that region needed further instruction on what their new faith meant for their lives</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