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Samuel</w:t>
      </w:r>
      <w:r>
        <w:rPr>
          <w:lang w:val="fr_FR" w:bidi="fr_FR"/>
        </w:rPr>
      </w:r>
    </w:p>
    <w:p>
      <w:pPr/>
      <w:r>
        <w:rPr>
          <w:lang w:val="fr_FR" w:bidi="fr_FR"/>
        </w:rPr>
      </w:r>
      <w:r>
        <w:rPr>
          <w:lang w:val="fr_FR" w:bidi="fr_FR"/>
        </w:rPr>
        <w:t>Le premier livre de Samuel</w:t>
      </w:r>
    </w:p>
    <w:p>
      <w:pPr>
        <w:pStyle w:val="Heading3"/>
      </w:pPr>
      <w:r>
        <w:rPr>
          <w:lang w:val="fr_FR" w:bidi="fr_FR"/>
        </w:rPr>
        <w:t>Dessein</w:t>
      </w:r>
    </w:p>
    <w:p>
      <w:pPr/>
      <w:r>
        <w:rPr>
          <w:lang w:val="fr_FR" w:bidi="fr_FR"/>
        </w:rPr>
      </w:r>
      <w:r>
        <w:rPr>
          <w:lang w:val="fr_FR" w:bidi="fr_FR"/>
        </w:rPr>
        <w:t>Raconter l’établissement de la monarchie israélite et mettre en avant les différences de caractère entre les deux premiers rois d’Israël</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1050–1011 av. J.-C.</w:t>
      </w:r>
    </w:p>
    <w:p>
      <w:pPr>
        <w:pStyle w:val="Heading3"/>
      </w:pPr>
      <w:r>
        <w:rPr>
          <w:lang w:val="fr_FR" w:bidi="fr_FR"/>
        </w:rPr>
        <w:t>Cadre</w:t>
      </w:r>
    </w:p>
    <w:p>
      <w:pPr/>
      <w:r>
        <w:rPr>
          <w:lang w:val="fr_FR" w:bidi="fr_FR"/>
        </w:rPr>
      </w:r>
      <w:r>
        <w:rPr>
          <w:lang w:val="fr_FR" w:bidi="fr_FR"/>
        </w:rPr>
        <w:t>La transition entre la période des juges et la monarchie israélite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