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 Summaries)</w:t>
      </w:r>
      <w:r>
        <w:rPr>
          <w:lang w:val="fr_FR" w:bidi="fr_FR"/>
        </w:rPr>
      </w:r>
    </w:p>
    <w:p>
      <w:pPr/>
      <w:r>
        <w:rPr>
          <w:lang w:val="fr_FR" w:bidi="fr_FR"/>
        </w:rPr>
      </w:r>
      <w:r>
        <w:rPr>
          <w:b/>
          <w:lang w:val="fr_FR" w:bidi="fr_FR"/>
        </w:rPr>
        <w:t>Aquifer Open Study Notes (Book Intro Summaries)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2KI</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 Rois</w:t>
      </w:r>
      <w:r>
        <w:rPr>
          <w:lang w:val="fr_FR" w:bidi="fr_FR"/>
        </w:rPr>
      </w:r>
    </w:p>
    <w:p>
      <w:pPr/>
      <w:r>
        <w:rPr>
          <w:lang w:val="fr_FR" w:bidi="fr_FR"/>
        </w:rPr>
      </w:r>
      <w:r>
        <w:rPr>
          <w:lang w:val="fr_FR" w:bidi="fr_FR"/>
        </w:rPr>
        <w:t>Le deuxième livre des Rois</w:t>
      </w:r>
    </w:p>
    <w:p>
      <w:pPr>
        <w:pStyle w:val="Heading3"/>
      </w:pPr>
      <w:r>
        <w:rPr>
          <w:lang w:val="fr_FR" w:bidi="fr_FR"/>
        </w:rPr>
        <w:t>Dessein</w:t>
      </w:r>
    </w:p>
    <w:p>
      <w:pPr/>
      <w:r>
        <w:rPr>
          <w:lang w:val="fr_FR" w:bidi="fr_FR"/>
        </w:rPr>
      </w:r>
      <w:r>
        <w:rPr>
          <w:lang w:val="fr_FR" w:bidi="fr_FR"/>
        </w:rPr>
        <w:t>Clarifier pourquoi Israël et Juda ont été exilés de la terre promise</w:t>
      </w:r>
    </w:p>
    <w:p>
      <w:pPr>
        <w:pStyle w:val="Heading3"/>
      </w:pPr>
      <w:r>
        <w:rPr>
          <w:lang w:val="fr_FR" w:bidi="fr_FR"/>
        </w:rPr>
        <w:t>Auteur</w:t>
      </w:r>
    </w:p>
    <w:p>
      <w:pPr/>
      <w:r>
        <w:rPr>
          <w:lang w:val="fr_FR" w:bidi="fr_FR"/>
        </w:rPr>
      </w:r>
      <w:r>
        <w:rPr>
          <w:lang w:val="fr_FR" w:bidi="fr_FR"/>
        </w:rPr>
        <w:t>Inconnue</w:t>
      </w:r>
    </w:p>
    <w:p>
      <w:pPr>
        <w:pStyle w:val="Heading3"/>
      </w:pPr>
      <w:r>
        <w:rPr>
          <w:lang w:val="fr_FR" w:bidi="fr_FR"/>
        </w:rPr>
        <w:t>Date</w:t>
      </w:r>
    </w:p>
    <w:p>
      <w:pPr/>
      <w:r>
        <w:rPr>
          <w:lang w:val="fr_FR" w:bidi="fr_FR"/>
        </w:rPr>
      </w:r>
      <w:r>
        <w:rPr>
          <w:lang w:val="fr_FR" w:bidi="fr_FR"/>
        </w:rPr>
        <w:t>Rapporte des événements survenus vers 853–586 av. J.-C.</w:t>
      </w:r>
    </w:p>
    <w:p>
      <w:pPr>
        <w:pStyle w:val="Heading3"/>
      </w:pPr>
      <w:r>
        <w:rPr>
          <w:lang w:val="fr_FR" w:bidi="fr_FR"/>
        </w:rPr>
        <w:t>Cadre</w:t>
      </w:r>
    </w:p>
    <w:p>
      <w:pPr/>
      <w:r>
        <w:rPr>
          <w:lang w:val="fr_FR" w:bidi="fr_FR"/>
        </w:rPr>
      </w:r>
      <w:r>
        <w:rPr>
          <w:lang w:val="fr_FR" w:bidi="fr_FR"/>
        </w:rPr>
        <w:t>Poursuit le récit de 1 Rois, l’histoire du Royaume divisé, et conclut sur l’exil des deux Royaumes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