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Esdras</w:t>
      </w:r>
      <w:r>
        <w:rPr>
          <w:lang w:val="fr_FR" w:bidi="fr_FR"/>
        </w:rPr>
      </w:r>
    </w:p>
    <w:p>
      <w:pPr/>
      <w:r>
        <w:rPr>
          <w:lang w:val="fr_FR" w:bidi="fr_FR"/>
        </w:rPr>
      </w:r>
      <w:r>
        <w:rPr>
          <w:lang w:val="fr_FR" w:bidi="fr_FR"/>
        </w:rPr>
        <w:t>Le livre d’Esdras</w:t>
      </w:r>
    </w:p>
    <w:p>
      <w:pPr>
        <w:pStyle w:val="Heading3"/>
      </w:pPr>
      <w:r>
        <w:rPr>
          <w:lang w:val="fr_FR" w:bidi="fr_FR"/>
        </w:rPr>
        <w:t>Dessein</w:t>
      </w:r>
    </w:p>
    <w:p>
      <w:pPr/>
      <w:r>
        <w:rPr>
          <w:lang w:val="fr_FR" w:bidi="fr_FR"/>
        </w:rPr>
      </w:r>
      <w:r>
        <w:rPr>
          <w:lang w:val="fr_FR" w:bidi="fr_FR"/>
        </w:rPr>
        <w:t>Manifester comment Dieu continue à pourvoir aux besoins de son peuple et montrer comment vivre face à la domination étrangère, à l’opposition et à l’influence païenne</w:t>
      </w:r>
    </w:p>
    <w:p>
      <w:pPr>
        <w:pStyle w:val="Heading3"/>
      </w:pPr>
      <w:r>
        <w:rPr>
          <w:lang w:val="fr_FR" w:bidi="fr_FR"/>
        </w:rPr>
        <w:t>Auteur</w:t>
      </w:r>
    </w:p>
    <w:p>
      <w:pPr/>
      <w:r>
        <w:rPr>
          <w:lang w:val="fr_FR" w:bidi="fr_FR"/>
        </w:rPr>
      </w:r>
      <w:r>
        <w:rPr>
          <w:lang w:val="fr_FR" w:bidi="fr_FR"/>
        </w:rPr>
        <w:t>Esdras, d’après la tradition</w:t>
      </w:r>
    </w:p>
    <w:p>
      <w:pPr>
        <w:pStyle w:val="Heading3"/>
      </w:pPr>
      <w:r>
        <w:rPr>
          <w:lang w:val="fr_FR" w:bidi="fr_FR"/>
        </w:rPr>
        <w:t>Date</w:t>
      </w:r>
    </w:p>
    <w:p>
      <w:pPr/>
      <w:r>
        <w:rPr>
          <w:lang w:val="fr_FR" w:bidi="fr_FR"/>
        </w:rPr>
      </w:r>
      <w:r>
        <w:rPr>
          <w:lang w:val="fr_FR" w:bidi="fr_FR"/>
        </w:rPr>
        <w:t>Rapporte des événements survenus vers 538–457 av. J.-C.</w:t>
      </w:r>
    </w:p>
    <w:p>
      <w:pPr>
        <w:pStyle w:val="Heading3"/>
      </w:pPr>
      <w:r>
        <w:rPr>
          <w:lang w:val="fr_FR" w:bidi="fr_FR"/>
        </w:rPr>
        <w:t>Cadre</w:t>
      </w:r>
    </w:p>
    <w:p>
      <w:pPr/>
      <w:r>
        <w:rPr>
          <w:lang w:val="fr_FR" w:bidi="fr_FR"/>
        </w:rPr>
      </w:r>
      <w:r>
        <w:rPr>
          <w:lang w:val="fr_FR" w:bidi="fr_FR"/>
        </w:rPr>
        <w:t>Jérusalem, à partir du premier retour des Juifs exilés et jusqu’à l’arrivée d’Esdras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