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SNG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Cantique des Cantiques</w:t>
      </w:r>
      <w:r>
        <w:rPr>
          <w:lang w:val="fr_FR" w:bidi="fr_FR"/>
        </w:rPr>
      </w:r>
    </w:p>
    <w:p>
      <w:pPr/>
      <w:r>
        <w:rPr>
          <w:lang w:val="fr_FR" w:bidi="fr_FR"/>
        </w:rPr>
      </w:r>
      <w:r>
        <w:rPr>
          <w:lang w:val="fr_FR" w:bidi="fr_FR"/>
        </w:rPr>
        <w:t>Le livre du Cantique des Cantiques</w:t>
      </w:r>
    </w:p>
    <w:p>
      <w:pPr>
        <w:pStyle w:val="Heading3"/>
      </w:pPr>
      <w:r>
        <w:rPr>
          <w:lang w:val="fr_FR" w:bidi="fr_FR"/>
        </w:rPr>
        <w:t>Dessein</w:t>
      </w:r>
    </w:p>
    <w:p>
      <w:pPr/>
      <w:r>
        <w:rPr>
          <w:lang w:val="fr_FR" w:bidi="fr_FR"/>
        </w:rPr>
      </w:r>
      <w:r>
        <w:rPr>
          <w:lang w:val="fr_FR" w:bidi="fr_FR"/>
        </w:rPr>
        <w:t>Célébrer les dons de Dieu de l’amour et de la sexualité</w:t>
      </w:r>
    </w:p>
    <w:p>
      <w:pPr>
        <w:pStyle w:val="Heading3"/>
      </w:pPr>
      <w:r>
        <w:rPr>
          <w:lang w:val="fr_FR" w:bidi="fr_FR"/>
        </w:rPr>
        <w:t>Auteur</w:t>
      </w:r>
    </w:p>
    <w:p>
      <w:pPr/>
      <w:r>
        <w:rPr>
          <w:lang w:val="fr_FR" w:bidi="fr_FR"/>
        </w:rPr>
      </w:r>
      <w:r>
        <w:rPr>
          <w:lang w:val="fr_FR" w:bidi="fr_FR"/>
        </w:rPr>
        <w:t>Salomon ; d’autres contributeurs possibles</w:t>
      </w:r>
    </w:p>
    <w:p>
      <w:pPr>
        <w:pStyle w:val="Heading3"/>
      </w:pPr>
      <w:r>
        <w:rPr>
          <w:lang w:val="fr_FR" w:bidi="fr_FR"/>
        </w:rPr>
        <w:t>Date</w:t>
      </w:r>
    </w:p>
    <w:p>
      <w:pPr/>
      <w:r>
        <w:rPr>
          <w:lang w:val="fr_FR" w:bidi="fr_FR"/>
        </w:rPr>
      </w:r>
      <w:r>
        <w:rPr>
          <w:lang w:val="fr_FR" w:bidi="fr_FR"/>
        </w:rPr>
        <w:t>Inconnu ; après 971 av. J.-C.</w:t>
      </w:r>
    </w:p>
    <w:p>
      <w:pPr>
        <w:pStyle w:val="Heading3"/>
      </w:pPr>
      <w:r>
        <w:rPr>
          <w:lang w:val="fr_FR" w:bidi="fr_FR"/>
        </w:rPr>
        <w:t>Cadre</w:t>
      </w:r>
    </w:p>
    <w:p>
      <w:pPr/>
      <w:r>
        <w:rPr>
          <w:lang w:val="fr_FR" w:bidi="fr_FR"/>
        </w:rPr>
      </w:r>
      <w:r>
        <w:rPr>
          <w:lang w:val="fr_FR" w:bidi="fr_FR"/>
        </w:rPr>
        <w:t>Ce livre est associé au règne de Salomon, mais son manque de trame claire remet en cause tout cadre ou identification clairs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