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Esaïe</w:t>
      </w:r>
      <w:r>
        <w:rPr>
          <w:lang w:val="fr_FR" w:bidi="fr_FR"/>
        </w:rPr>
      </w:r>
    </w:p>
    <w:p>
      <w:pPr/>
      <w:r>
        <w:rPr>
          <w:lang w:val="fr_FR" w:bidi="fr_FR"/>
        </w:rPr>
      </w:r>
      <w:r>
        <w:rPr>
          <w:lang w:val="fr_FR" w:bidi="fr_FR"/>
        </w:rPr>
        <w:t>Le livre d’Esaïe</w:t>
      </w:r>
    </w:p>
    <w:p>
      <w:pPr>
        <w:pStyle w:val="Heading3"/>
      </w:pPr>
      <w:r>
        <w:rPr>
          <w:lang w:val="fr_FR" w:bidi="fr_FR"/>
        </w:rPr>
        <w:t>Dessein</w:t>
      </w:r>
    </w:p>
    <w:p>
      <w:pPr/>
      <w:r>
        <w:rPr>
          <w:lang w:val="fr_FR" w:bidi="fr_FR"/>
        </w:rPr>
      </w:r>
      <w:r>
        <w:rPr>
          <w:lang w:val="fr_FR" w:bidi="fr_FR"/>
        </w:rPr>
        <w:t>Avertir Juda du jugement imminent et offrir de l’espérance par rapport à un reste du peuple de Dieu</w:t>
      </w:r>
    </w:p>
    <w:p>
      <w:pPr>
        <w:pStyle w:val="Heading3"/>
      </w:pPr>
      <w:r>
        <w:rPr>
          <w:lang w:val="fr_FR" w:bidi="fr_FR"/>
        </w:rPr>
        <w:t>Auteur</w:t>
      </w:r>
    </w:p>
    <w:p>
      <w:pPr/>
      <w:r>
        <w:rPr>
          <w:lang w:val="fr_FR" w:bidi="fr_FR"/>
        </w:rPr>
      </w:r>
      <w:r>
        <w:rPr>
          <w:lang w:val="fr_FR" w:bidi="fr_FR"/>
        </w:rPr>
        <w:t>Esaïe</w:t>
      </w:r>
    </w:p>
    <w:p>
      <w:pPr>
        <w:pStyle w:val="Heading3"/>
      </w:pPr>
      <w:r>
        <w:rPr>
          <w:lang w:val="fr_FR" w:bidi="fr_FR"/>
        </w:rPr>
        <w:t>Date</w:t>
      </w:r>
    </w:p>
    <w:p>
      <w:pPr/>
      <w:r>
        <w:rPr>
          <w:lang w:val="fr_FR" w:bidi="fr_FR"/>
        </w:rPr>
      </w:r>
      <w:r>
        <w:rPr>
          <w:lang w:val="fr_FR" w:bidi="fr_FR"/>
        </w:rPr>
        <w:t>Vers 740–685 av. J.-C.</w:t>
      </w:r>
    </w:p>
    <w:p>
      <w:pPr>
        <w:pStyle w:val="Heading3"/>
      </w:pPr>
      <w:r>
        <w:rPr>
          <w:lang w:val="fr_FR" w:bidi="fr_FR"/>
        </w:rPr>
        <w:t>Cadre</w:t>
      </w:r>
    </w:p>
    <w:p>
      <w:pPr/>
      <w:r>
        <w:rPr>
          <w:lang w:val="fr_FR" w:bidi="fr_FR"/>
        </w:rPr>
      </w:r>
      <w:r>
        <w:rPr>
          <w:lang w:val="fr_FR" w:bidi="fr_FR"/>
        </w:rPr>
        <w:t>Le Royaume du Sud, de Juda, vers l’époque de la conquête du Royaume du Nord, d’Israël, par l’Assyrie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