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DAN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Daniel</w:t>
      </w:r>
      <w:r>
        <w:rPr>
          <w:lang w:val="fr_FR" w:bidi="fr_FR"/>
        </w:rPr>
      </w:r>
    </w:p>
    <w:p>
      <w:pPr/>
      <w:r>
        <w:rPr>
          <w:lang w:val="fr_FR" w:bidi="fr_FR"/>
        </w:rPr>
      </w:r>
      <w:r>
        <w:rPr>
          <w:lang w:val="fr_FR" w:bidi="fr_FR"/>
        </w:rPr>
        <w:t>Le livre de Daniel</w:t>
      </w:r>
    </w:p>
    <w:p>
      <w:pPr>
        <w:pStyle w:val="Heading3"/>
      </w:pPr>
      <w:r>
        <w:rPr>
          <w:lang w:val="fr_FR" w:bidi="fr_FR"/>
        </w:rPr>
        <w:t>Dessein</w:t>
      </w:r>
    </w:p>
    <w:p>
      <w:pPr/>
      <w:r>
        <w:rPr>
          <w:lang w:val="fr_FR" w:bidi="fr_FR"/>
        </w:rPr>
      </w:r>
      <w:r>
        <w:rPr>
          <w:lang w:val="fr_FR" w:bidi="fr_FR"/>
        </w:rPr>
        <w:t>Manifester la souveraineté de Dieu sur tous, y compris les puissances apathiques ou antagonistes</w:t>
      </w:r>
    </w:p>
    <w:p>
      <w:pPr>
        <w:pStyle w:val="Heading3"/>
      </w:pPr>
      <w:r>
        <w:rPr>
          <w:lang w:val="fr_FR" w:bidi="fr_FR"/>
        </w:rPr>
        <w:t>Auteur</w:t>
      </w:r>
    </w:p>
    <w:p>
      <w:pPr/>
      <w:r>
        <w:rPr>
          <w:lang w:val="fr_FR" w:bidi="fr_FR"/>
        </w:rPr>
      </w:r>
      <w:r>
        <w:rPr>
          <w:lang w:val="fr_FR" w:bidi="fr_FR"/>
        </w:rPr>
        <w:t>Probablement Daniel</w:t>
      </w:r>
    </w:p>
    <w:p>
      <w:pPr>
        <w:pStyle w:val="Heading3"/>
      </w:pPr>
      <w:r>
        <w:rPr>
          <w:lang w:val="fr_FR" w:bidi="fr_FR"/>
        </w:rPr>
        <w:t>Date</w:t>
      </w:r>
    </w:p>
    <w:p>
      <w:pPr/>
      <w:r>
        <w:rPr>
          <w:lang w:val="fr_FR" w:bidi="fr_FR"/>
        </w:rPr>
      </w:r>
      <w:r>
        <w:rPr>
          <w:lang w:val="fr_FR" w:bidi="fr_FR"/>
        </w:rPr>
        <w:t>Vers 605–535 av. J.-C.</w:t>
      </w:r>
    </w:p>
    <w:p>
      <w:pPr>
        <w:pStyle w:val="Heading3"/>
      </w:pPr>
      <w:r>
        <w:rPr>
          <w:lang w:val="fr_FR" w:bidi="fr_FR"/>
        </w:rPr>
        <w:t>Cadre</w:t>
      </w:r>
    </w:p>
    <w:p>
      <w:pPr/>
      <w:r>
        <w:rPr>
          <w:lang w:val="fr_FR" w:bidi="fr_FR"/>
        </w:rPr>
      </w:r>
      <w:r>
        <w:rPr>
          <w:lang w:val="fr_FR" w:bidi="fr_FR"/>
        </w:rPr>
        <w:t>Babylone, à partir de la première vague d’exilés de Juda et jusqu’au décret de Cyrus autorisant le retour des Juifs d’exil</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