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Nahum</w:t>
      </w:r>
      <w:r>
        <w:rPr>
          <w:lang w:val="fr_FR" w:bidi="fr_FR"/>
        </w:rPr>
      </w:r>
    </w:p>
    <w:p>
      <w:pPr/>
      <w:r>
        <w:rPr>
          <w:lang w:val="fr_FR" w:bidi="fr_FR"/>
        </w:rPr>
      </w:r>
      <w:r>
        <w:rPr>
          <w:lang w:val="fr_FR" w:bidi="fr_FR"/>
        </w:rPr>
        <w:t>Le livre de Nahum</w:t>
      </w:r>
    </w:p>
    <w:p>
      <w:pPr>
        <w:pStyle w:val="Heading3"/>
      </w:pPr>
      <w:r>
        <w:rPr>
          <w:lang w:val="fr_FR" w:bidi="fr_FR"/>
        </w:rPr>
        <w:t>Dessein</w:t>
      </w:r>
    </w:p>
    <w:p>
      <w:pPr/>
      <w:r>
        <w:rPr>
          <w:lang w:val="fr_FR" w:bidi="fr_FR"/>
        </w:rPr>
      </w:r>
      <w:r>
        <w:rPr>
          <w:lang w:val="fr_FR" w:bidi="fr_FR"/>
        </w:rPr>
        <w:t>Annoncer le jugement à venir de Dieu sur Ninive, la capitale assyrienne, afin d’offrir de l’espérance au peuple de Juda</w:t>
      </w:r>
    </w:p>
    <w:p>
      <w:pPr>
        <w:pStyle w:val="Heading3"/>
      </w:pPr>
      <w:r>
        <w:rPr>
          <w:lang w:val="fr_FR" w:bidi="fr_FR"/>
        </w:rPr>
        <w:t>Auteur</w:t>
      </w:r>
    </w:p>
    <w:p>
      <w:pPr/>
      <w:r>
        <w:rPr>
          <w:lang w:val="fr_FR" w:bidi="fr_FR"/>
        </w:rPr>
      </w:r>
      <w:r>
        <w:rPr>
          <w:lang w:val="fr_FR" w:bidi="fr_FR"/>
        </w:rPr>
        <w:t>Nahum</w:t>
      </w:r>
    </w:p>
    <w:p>
      <w:pPr>
        <w:pStyle w:val="Heading3"/>
      </w:pPr>
      <w:r>
        <w:rPr>
          <w:lang w:val="fr_FR" w:bidi="fr_FR"/>
        </w:rPr>
        <w:t>Date</w:t>
      </w:r>
    </w:p>
    <w:p>
      <w:pPr/>
      <w:r>
        <w:rPr>
          <w:lang w:val="fr_FR" w:bidi="fr_FR"/>
        </w:rPr>
      </w:r>
      <w:r>
        <w:rPr>
          <w:lang w:val="fr_FR" w:bidi="fr_FR"/>
        </w:rPr>
        <w:t>Entre 663 et 612 av. J.-C.</w:t>
      </w:r>
    </w:p>
    <w:p>
      <w:pPr>
        <w:pStyle w:val="Heading3"/>
      </w:pPr>
      <w:r>
        <w:rPr>
          <w:lang w:val="fr_FR" w:bidi="fr_FR"/>
        </w:rPr>
        <w:t>Cadre</w:t>
      </w:r>
    </w:p>
    <w:p>
      <w:pPr/>
      <w:r>
        <w:rPr>
          <w:lang w:val="fr_FR" w:bidi="fr_FR"/>
        </w:rPr>
      </w:r>
      <w:r>
        <w:rPr>
          <w:lang w:val="fr_FR" w:bidi="fr_FR"/>
        </w:rPr>
        <w:t>L’Empire assyrien avait conquis le Royaume du Nord, d’Israël, si bien que le Royaume du Sud, de Juda, était à présent en danger qu’il lui arrive la même chose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