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Habacuc</w:t>
      </w:r>
      <w:r>
        <w:rPr>
          <w:lang w:val="fr_FR" w:bidi="fr_FR"/>
        </w:rPr>
      </w:r>
    </w:p>
    <w:p>
      <w:pPr/>
      <w:r>
        <w:rPr>
          <w:lang w:val="fr_FR" w:bidi="fr_FR"/>
        </w:rPr>
      </w:r>
      <w:r>
        <w:rPr>
          <w:lang w:val="fr_FR" w:bidi="fr_FR"/>
        </w:rPr>
        <w:t>Le livre d’Habacuc</w:t>
      </w:r>
    </w:p>
    <w:p>
      <w:pPr>
        <w:pStyle w:val="Heading3"/>
      </w:pPr>
      <w:r>
        <w:rPr>
          <w:lang w:val="fr_FR" w:bidi="fr_FR"/>
        </w:rPr>
        <w:t>Dessein</w:t>
      </w:r>
    </w:p>
    <w:p>
      <w:pPr/>
      <w:r>
        <w:rPr>
          <w:lang w:val="fr_FR" w:bidi="fr_FR"/>
        </w:rPr>
      </w:r>
      <w:r>
        <w:rPr>
          <w:lang w:val="fr_FR" w:bidi="fr_FR"/>
        </w:rPr>
        <w:t>Répondre à des questions difficiles par rapport aux desseins de Dieu et à la présence du mal dans le monde</w:t>
      </w:r>
    </w:p>
    <w:p>
      <w:pPr>
        <w:pStyle w:val="Heading3"/>
      </w:pPr>
      <w:r>
        <w:rPr>
          <w:lang w:val="fr_FR" w:bidi="fr_FR"/>
        </w:rPr>
        <w:t>Auteur</w:t>
      </w:r>
    </w:p>
    <w:p>
      <w:pPr/>
      <w:r>
        <w:rPr>
          <w:lang w:val="fr_FR" w:bidi="fr_FR"/>
        </w:rPr>
      </w:r>
      <w:r>
        <w:rPr>
          <w:lang w:val="fr_FR" w:bidi="fr_FR"/>
        </w:rPr>
        <w:t>Habacuc</w:t>
      </w:r>
    </w:p>
    <w:p>
      <w:pPr>
        <w:pStyle w:val="Heading3"/>
      </w:pPr>
      <w:r>
        <w:rPr>
          <w:lang w:val="fr_FR" w:bidi="fr_FR"/>
        </w:rPr>
        <w:t>Date</w:t>
      </w:r>
    </w:p>
    <w:p>
      <w:pPr/>
      <w:r>
        <w:rPr>
          <w:lang w:val="fr_FR" w:bidi="fr_FR"/>
        </w:rPr>
      </w:r>
      <w:r>
        <w:rPr>
          <w:lang w:val="fr_FR" w:bidi="fr_FR"/>
        </w:rPr>
        <w:t>Probablement entre 645 et 605 av. J.-C.</w:t>
      </w:r>
    </w:p>
    <w:p>
      <w:pPr>
        <w:pStyle w:val="Heading3"/>
      </w:pPr>
      <w:r>
        <w:rPr>
          <w:lang w:val="fr_FR" w:bidi="fr_FR"/>
        </w:rPr>
        <w:t>Cadre</w:t>
      </w:r>
    </w:p>
    <w:p>
      <w:pPr/>
      <w:r>
        <w:rPr>
          <w:lang w:val="fr_FR" w:bidi="fr_FR"/>
        </w:rPr>
      </w:r>
      <w:r>
        <w:rPr>
          <w:lang w:val="fr_FR" w:bidi="fr_FR"/>
        </w:rPr>
        <w:t>Les dernières années du Royaume indépendant de Juda, alors que la puissance assyrienne faiblissait, mais que la puissance babylonienne augmentait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