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hi_IN" w:bidi="hi_IN"/>
        </w:rPr>
      </w:r>
    </w:p>
    <w:p>
      <w:pPr>
        <w:pStyle w:val="Heading2"/>
      </w:pPr>
      <w:r>
        <w:rPr>
          <w:lang w:val="hi_IN" w:bidi="hi_IN"/>
        </w:rPr>
        <w:t>Resource: Aquifer Open Study Notes (Book Intro Summaries)</w:t>
      </w:r>
      <w:r>
        <w:rPr>
          <w:lang w:val="hi_IN" w:bidi="hi_IN"/>
        </w:rPr>
      </w:r>
    </w:p>
    <w:p>
      <w:pPr/>
      <w:r>
        <w:rPr>
          <w:lang w:val="hi_IN" w:bidi="hi_IN"/>
        </w:rPr>
      </w:r>
      <w:r>
        <w:rPr>
          <w:b/>
          <w:lang w:val="hi_IN" w:bidi="hi_IN"/>
        </w:rPr>
        <w:t>Aquifer Open Study Notes (Book Intro Summaries)</w:t>
      </w:r>
    </w:p>
    <w:p>
      <w:pPr/>
      <w:r>
        <w:rPr>
          <w:lang w:val="hi_IN" w:bidi="hi_IN"/>
        </w:rPr>
      </w:r>
      <w:r>
        <w:rPr>
          <w:lang w:val="hi_IN" w:bidi="hi_IN"/>
        </w:rPr>
        <w:t xml:space="preserve">This work is an adaptation of </w:t>
      </w:r>
      <w:r>
        <w:rPr>
          <w:lang w:val="hi_IN" w:bidi="hi_IN"/>
        </w:rPr>
        <w:t>Tyndale Open Study Notes</w:t>
      </w:r>
      <w:r>
        <w:rPr>
          <w:lang w:val="hi_IN" w:bidi="hi_IN"/>
        </w:rPr>
        <w:t xml:space="preserve"> © 2023 Tyndale House Publishers, licensed under the CC BY-SA 4.0 license. The adaptation, </w:t>
      </w:r>
      <w:r>
        <w:rPr>
          <w:lang w:val="hi_IN" w:bidi="hi_IN"/>
        </w:rPr>
        <w:t>Aquifer Open Study Notes</w:t>
      </w:r>
      <w:r>
        <w:rPr>
          <w:lang w:val="hi_IN" w:bidi="hi_IN"/>
        </w:rPr>
        <w:t>, was created by Mission Mutual and is also licensed under CC BY-SA 4.0.</w:t>
      </w:r>
    </w:p>
    <w:p>
      <w:pPr/>
      <w:r>
        <w:rPr>
          <w:lang w:val="hi_IN" w:bidi="hi_IN"/>
        </w:rPr>
      </w:r>
      <w:r>
        <w:rPr>
          <w:lang w:val="hi_IN" w:bidi="hi_IN"/>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hi_IN" w:bidi="hi_IN"/>
        </w:rPr>
      </w:r>
      <w:r>
        <w:rPr>
          <w:lang w:val="hi_IN" w:bidi="hi_IN"/>
        </w:rPr>
      </w:r>
    </w:p>
    <w:p>
      <w:pPr>
        <w:pStyle w:val="Heading1"/>
      </w:pPr>
      <w:r>
        <w:rPr>
          <w:lang w:val="hi_IN" w:bidi="hi_IN"/>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HAB</w:t>
      </w:r>
      <w:r>
        <w:rPr>
          <w:lang w:val="hi_IN" w:bidi="hi_IN"/>
        </w:rPr>
      </w:r>
    </w:p>
    <w:p>
      <w:pPr/>
      <w:r>
        <w:rPr>
          <w:lang w:val="hi_IN" w:bidi="hi_IN"/>
        </w:rPr>
      </w:r>
      <w:r>
        <w:rPr>
          <w:lang w:val="hi_IN" w:bidi="hi_IN"/>
        </w:rPr>
        <w:t xml:space="preserve"> </w:t>
      </w:r>
      <w:r>
        <w:rPr>
          <w:lang w:val="hi_IN" w:bidi="hi_IN"/>
        </w:rPr>
      </w:r>
      <w:r>
        <w:rPr>
          <w:lang w:val="hi_IN" w:bidi="hi_IN"/>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hi_IN" w:bidi="hi_IN"/>
        </w:rPr>
      </w:r>
    </w:p>
    <w:p>
      <w:pPr>
        <w:pStyle w:val="Heading2"/>
      </w:pPr>
      <w:r>
        <w:rPr>
          <w:lang w:val="hi_IN" w:bidi="hi_IN"/>
        </w:rPr>
        <w:t>हबक्कूक</w:t>
      </w:r>
      <w:r>
        <w:rPr>
          <w:lang w:val="hi_IN" w:bidi="hi_IN"/>
        </w:rPr>
      </w:r>
    </w:p>
    <w:p>
      <w:pPr/>
      <w:r>
        <w:rPr>
          <w:lang w:val="hi_IN" w:bidi="hi_IN"/>
        </w:rPr>
      </w:r>
      <w:r>
        <w:rPr>
          <w:lang w:val="hi_IN" w:bidi="hi_IN"/>
        </w:rPr>
        <w:t>हबक्कूक की पुस्तक</w:t>
      </w:r>
    </w:p>
    <w:p>
      <w:pPr>
        <w:pStyle w:val="Heading3"/>
      </w:pPr>
      <w:r>
        <w:rPr>
          <w:lang w:val="hi_IN" w:bidi="hi_IN"/>
        </w:rPr>
        <w:t>उद्देश्य</w:t>
      </w:r>
    </w:p>
    <w:p>
      <w:pPr/>
      <w:r>
        <w:rPr>
          <w:lang w:val="hi_IN" w:bidi="hi_IN"/>
        </w:rPr>
      </w:r>
      <w:r>
        <w:rPr>
          <w:lang w:val="hi_IN" w:bidi="hi_IN"/>
        </w:rPr>
        <w:t>परमेश्वर के उद्देश्यों और संसार में बुराई होने के विषय में कुछ कठिन प्रश्नों को संबोधित करना</w:t>
      </w:r>
    </w:p>
    <w:p>
      <w:pPr>
        <w:pStyle w:val="Heading3"/>
      </w:pPr>
      <w:r>
        <w:rPr>
          <w:lang w:val="hi_IN" w:bidi="hi_IN"/>
        </w:rPr>
        <w:t>लेखक</w:t>
      </w:r>
    </w:p>
    <w:p>
      <w:pPr/>
      <w:r>
        <w:rPr>
          <w:lang w:val="hi_IN" w:bidi="hi_IN"/>
        </w:rPr>
      </w:r>
      <w:r>
        <w:rPr>
          <w:lang w:val="hi_IN" w:bidi="hi_IN"/>
        </w:rPr>
        <w:t>हबक्कूक</w:t>
      </w:r>
    </w:p>
    <w:p>
      <w:pPr>
        <w:pStyle w:val="Heading3"/>
      </w:pPr>
      <w:r>
        <w:rPr>
          <w:lang w:val="hi_IN" w:bidi="hi_IN"/>
        </w:rPr>
        <w:t>तिथि</w:t>
      </w:r>
    </w:p>
    <w:p>
      <w:pPr/>
      <w:r>
        <w:rPr>
          <w:lang w:val="hi_IN" w:bidi="hi_IN"/>
        </w:rPr>
      </w:r>
      <w:r>
        <w:rPr>
          <w:lang w:val="hi_IN" w:bidi="hi_IN"/>
        </w:rPr>
        <w:t>संभवतः 645 और 605 ई. पू. के बीच</w:t>
      </w:r>
    </w:p>
    <w:p>
      <w:pPr>
        <w:pStyle w:val="Heading3"/>
      </w:pPr>
      <w:r>
        <w:rPr>
          <w:lang w:val="hi_IN" w:bidi="hi_IN"/>
        </w:rPr>
        <w:t>घटनास्थल</w:t>
      </w:r>
    </w:p>
    <w:p>
      <w:pPr/>
      <w:r>
        <w:rPr>
          <w:lang w:val="hi_IN" w:bidi="hi_IN"/>
        </w:rPr>
      </w:r>
      <w:r>
        <w:rPr>
          <w:lang w:val="hi_IN" w:bidi="hi_IN"/>
        </w:rPr>
        <w:t>यहूदा के स्वतंत्र राज्य के अंतिम वर्ष, जब अश्शूर की शक्ति घट रही थी और बाबेलीयों की शक्ति बढ़ रही थी</w:t>
      </w:r>
      <w:r>
        <w:rPr>
          <w:lang w:val="hi_IN" w:bidi="hi_IN"/>
        </w:rPr>
      </w:r>
      <w:r>
        <w:rPr>
          <w:lang w:val="hi_IN" w:bidi="hi_IN"/>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hi_IN"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