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 Summaries)</w:t>
      </w:r>
      <w:r>
        <w:rPr>
          <w:lang w:val="id_ID" w:bidi="id_ID"/>
        </w:rPr>
      </w:r>
    </w:p>
    <w:p>
      <w:pPr/>
      <w:r>
        <w:rPr>
          <w:lang w:val="id_ID" w:bidi="id_ID"/>
        </w:rPr>
      </w:r>
      <w:r>
        <w:rPr>
          <w:b/>
          <w:lang w:val="id_ID" w:bidi="id_ID"/>
        </w:rPr>
        <w:t>Aquifer Open Study Notes (Book Intro Summaries)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2KI</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 Raja-Raja</w:t>
      </w:r>
      <w:r>
        <w:rPr>
          <w:lang w:val="id_ID" w:bidi="id_ID"/>
        </w:rPr>
      </w:r>
    </w:p>
    <w:p>
      <w:pPr/>
      <w:r>
        <w:rPr>
          <w:lang w:val="id_ID" w:bidi="id_ID"/>
        </w:rPr>
      </w:r>
      <w:r>
        <w:rPr>
          <w:lang w:val="id_ID" w:bidi="id_ID"/>
        </w:rPr>
        <w:t>Kitab 2 Raja-Raja</w:t>
      </w:r>
    </w:p>
    <w:p>
      <w:pPr>
        <w:pStyle w:val="Heading3"/>
      </w:pPr>
      <w:r>
        <w:rPr>
          <w:lang w:val="id_ID" w:bidi="id_ID"/>
        </w:rPr>
        <w:t>Tujuan</w:t>
      </w:r>
    </w:p>
    <w:p>
      <w:pPr/>
      <w:r>
        <w:rPr>
          <w:lang w:val="id_ID" w:bidi="id_ID"/>
        </w:rPr>
      </w:r>
      <w:r>
        <w:rPr>
          <w:lang w:val="id_ID" w:bidi="id_ID"/>
        </w:rPr>
        <w:t>Menjelaskan mengapa bangsa Israel dan Yehuda dibuang dari Tanah Perjanjian</w:t>
      </w:r>
    </w:p>
    <w:p>
      <w:pPr>
        <w:pStyle w:val="Heading3"/>
      </w:pPr>
      <w:r>
        <w:rPr>
          <w:lang w:val="id_ID" w:bidi="id_ID"/>
        </w:rPr>
        <w:t>Penulis</w:t>
      </w:r>
    </w:p>
    <w:p>
      <w:pPr/>
      <w:r>
        <w:rPr>
          <w:lang w:val="id_ID" w:bidi="id_ID"/>
        </w:rPr>
      </w:r>
      <w:r>
        <w:rPr>
          <w:lang w:val="id_ID" w:bidi="id_ID"/>
        </w:rPr>
        <w:t>Tidak diketahui</w:t>
      </w:r>
    </w:p>
    <w:p>
      <w:pPr>
        <w:pStyle w:val="Heading3"/>
      </w:pPr>
      <w:r>
        <w:rPr>
          <w:lang w:val="id_ID" w:bidi="id_ID"/>
        </w:rPr>
        <w:t>Tahun Penulisan</w:t>
      </w:r>
    </w:p>
    <w:p>
      <w:pPr/>
      <w:r>
        <w:rPr>
          <w:lang w:val="id_ID" w:bidi="id_ID"/>
        </w:rPr>
      </w:r>
      <w:r>
        <w:rPr>
          <w:lang w:val="id_ID" w:bidi="id_ID"/>
        </w:rPr>
        <w:t>Mencatat peristiwa-peristiwa yang terjadi sekitar tahun 853–586 SM</w:t>
      </w:r>
    </w:p>
    <w:p>
      <w:pPr>
        <w:pStyle w:val="Heading3"/>
      </w:pPr>
      <w:r>
        <w:rPr>
          <w:lang w:val="id_ID" w:bidi="id_ID"/>
        </w:rPr>
        <w:t>Latar Belakang</w:t>
      </w:r>
    </w:p>
    <w:p>
      <w:pPr/>
      <w:r>
        <w:rPr>
          <w:lang w:val="id_ID" w:bidi="id_ID"/>
        </w:rPr>
      </w:r>
      <w:r>
        <w:rPr>
          <w:lang w:val="id_ID" w:bidi="id_ID"/>
        </w:rPr>
        <w:t>Melanjutkan kisah dari 1 Raja-Raja tentang kerajaan yang terpecah dan berakhir dengan kedua kerajaan itu dibuang</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