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DAN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Daniel</w:t>
      </w:r>
      <w:r>
        <w:rPr>
          <w:lang w:val="id_ID" w:bidi="id_ID"/>
        </w:rPr>
      </w:r>
    </w:p>
    <w:p>
      <w:pPr/>
      <w:r>
        <w:rPr>
          <w:lang w:val="id_ID" w:bidi="id_ID"/>
        </w:rPr>
      </w:r>
      <w:r>
        <w:rPr>
          <w:lang w:val="id_ID" w:bidi="id_ID"/>
        </w:rPr>
        <w:t>Kitab Daniel</w:t>
      </w:r>
    </w:p>
    <w:p>
      <w:pPr>
        <w:pStyle w:val="Heading3"/>
      </w:pPr>
      <w:r>
        <w:rPr>
          <w:lang w:val="id_ID" w:bidi="id_ID"/>
        </w:rPr>
        <w:t>Tujuan</w:t>
      </w:r>
    </w:p>
    <w:p>
      <w:pPr/>
      <w:r>
        <w:rPr>
          <w:lang w:val="id_ID" w:bidi="id_ID"/>
        </w:rPr>
      </w:r>
      <w:r>
        <w:rPr>
          <w:lang w:val="id_ID" w:bidi="id_ID"/>
        </w:rPr>
        <w:t>Menyatakan kedaulatan Allah atas segala sesuatu, termasuk atas segala pemerintahan yang tidak peduli atau menentang-Nya</w:t>
      </w:r>
    </w:p>
    <w:p>
      <w:pPr>
        <w:pStyle w:val="Heading3"/>
      </w:pPr>
      <w:r>
        <w:rPr>
          <w:lang w:val="id_ID" w:bidi="id_ID"/>
        </w:rPr>
        <w:t>Penulis</w:t>
      </w:r>
    </w:p>
    <w:p>
      <w:pPr/>
      <w:r>
        <w:rPr>
          <w:lang w:val="id_ID" w:bidi="id_ID"/>
        </w:rPr>
      </w:r>
      <w:r>
        <w:rPr>
          <w:lang w:val="id_ID" w:bidi="id_ID"/>
        </w:rPr>
        <w:t>Kemungkinan Daniel</w:t>
      </w:r>
    </w:p>
    <w:p>
      <w:pPr>
        <w:pStyle w:val="Heading3"/>
      </w:pPr>
      <w:r>
        <w:rPr>
          <w:lang w:val="id_ID" w:bidi="id_ID"/>
        </w:rPr>
        <w:t>Tahun penulisan</w:t>
      </w:r>
    </w:p>
    <w:p>
      <w:pPr/>
      <w:r>
        <w:rPr>
          <w:lang w:val="id_ID" w:bidi="id_ID"/>
        </w:rPr>
      </w:r>
      <w:r>
        <w:rPr>
          <w:lang w:val="id_ID" w:bidi="id_ID"/>
        </w:rPr>
        <w:t>Sekitar tahun 605–535 SM</w:t>
      </w:r>
    </w:p>
    <w:p>
      <w:pPr>
        <w:pStyle w:val="Heading3"/>
      </w:pPr>
      <w:r>
        <w:rPr>
          <w:lang w:val="id_ID" w:bidi="id_ID"/>
        </w:rPr>
        <w:t>Latar Belakang</w:t>
      </w:r>
    </w:p>
    <w:p>
      <w:pPr/>
      <w:r>
        <w:rPr>
          <w:lang w:val="id_ID" w:bidi="id_ID"/>
        </w:rPr>
      </w:r>
      <w:r>
        <w:rPr>
          <w:lang w:val="id_ID" w:bidi="id_ID"/>
        </w:rPr>
        <w:t>Babel, dimulai dengan gelombang pertama pembuangan Yehuda dan berakhir kira-kira pada waktu Koresh mengeluarkan keputusan mengizinkan orang-orang Yahudi pulang ke negerinya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