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Mikha</w:t>
      </w:r>
      <w:r>
        <w:rPr>
          <w:lang w:val="id_ID" w:bidi="id_ID"/>
        </w:rPr>
      </w:r>
    </w:p>
    <w:p>
      <w:pPr/>
      <w:r>
        <w:rPr>
          <w:lang w:val="id_ID" w:bidi="id_ID"/>
        </w:rPr>
      </w:r>
      <w:r>
        <w:rPr>
          <w:lang w:val="id_ID" w:bidi="id_ID"/>
        </w:rPr>
        <w:t>Kitab Mikha</w:t>
      </w:r>
    </w:p>
    <w:p>
      <w:pPr>
        <w:pStyle w:val="Heading3"/>
      </w:pPr>
      <w:r>
        <w:rPr>
          <w:lang w:val="id_ID" w:bidi="id_ID"/>
        </w:rPr>
        <w:t>Tujuan</w:t>
      </w:r>
    </w:p>
    <w:p>
      <w:pPr/>
      <w:r>
        <w:rPr>
          <w:lang w:val="id_ID" w:bidi="id_ID"/>
        </w:rPr>
      </w:r>
      <w:r>
        <w:rPr>
          <w:lang w:val="id_ID" w:bidi="id_ID"/>
        </w:rPr>
        <w:t>Mengumumkan penghukuman Allah atas Samaria dan Yerusalem, tetapi juga menawarkan pesan pengharapan yang kuat bagi masa depan Israel</w:t>
      </w:r>
    </w:p>
    <w:p>
      <w:pPr>
        <w:pStyle w:val="Heading3"/>
      </w:pPr>
      <w:r>
        <w:rPr>
          <w:lang w:val="id_ID" w:bidi="id_ID"/>
        </w:rPr>
        <w:t>Penulis</w:t>
      </w:r>
    </w:p>
    <w:p>
      <w:pPr/>
      <w:r>
        <w:rPr>
          <w:lang w:val="id_ID" w:bidi="id_ID"/>
        </w:rPr>
      </w:r>
      <w:r>
        <w:rPr>
          <w:lang w:val="id_ID" w:bidi="id_ID"/>
        </w:rPr>
        <w:t>Mikha</w:t>
      </w:r>
    </w:p>
    <w:p>
      <w:pPr>
        <w:pStyle w:val="Heading3"/>
      </w:pPr>
      <w:r>
        <w:rPr>
          <w:lang w:val="id_ID" w:bidi="id_ID"/>
        </w:rPr>
        <w:t>Tahun penulisan</w:t>
      </w:r>
    </w:p>
    <w:p>
      <w:pPr/>
      <w:r>
        <w:rPr>
          <w:lang w:val="id_ID" w:bidi="id_ID"/>
        </w:rPr>
      </w:r>
      <w:r>
        <w:rPr>
          <w:lang w:val="id_ID" w:bidi="id_ID"/>
        </w:rPr>
        <w:t>Sekitar tahun 735–686 SM</w:t>
      </w:r>
    </w:p>
    <w:p>
      <w:pPr>
        <w:pStyle w:val="Heading3"/>
      </w:pPr>
      <w:r>
        <w:rPr>
          <w:lang w:val="id_ID" w:bidi="id_ID"/>
        </w:rPr>
        <w:t>Latar Belakang</w:t>
      </w:r>
    </w:p>
    <w:p>
      <w:pPr/>
      <w:r>
        <w:rPr>
          <w:lang w:val="id_ID" w:bidi="id_ID"/>
        </w:rPr>
      </w:r>
      <w:r>
        <w:rPr>
          <w:lang w:val="id_ID" w:bidi="id_ID"/>
        </w:rPr>
        <w:t>Kerajaan Israel di utara segera setelah kehancurannya dan Kerajaan Yehuda di selatan dalam masa pemerintahan Yotam, Ahas, dan Hizkia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