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Daniel</w:t>
      </w:r>
      <w:r>
        <w:rPr>
          <w:lang w:val="pt_PT" w:bidi="pt_PT"/>
        </w:rPr>
      </w:r>
    </w:p>
    <w:p>
      <w:pPr/>
      <w:r>
        <w:rPr>
          <w:lang w:val="pt_PT" w:bidi="pt_PT"/>
        </w:rPr>
      </w:r>
      <w:r>
        <w:rPr>
          <w:lang w:val="pt_PT" w:bidi="pt_PT"/>
        </w:rPr>
        <w:t>O livro de Daniel</w:t>
      </w:r>
    </w:p>
    <w:p>
      <w:pPr>
        <w:pStyle w:val="Heading3"/>
      </w:pPr>
      <w:r>
        <w:rPr>
          <w:lang w:val="pt_PT" w:bidi="pt_PT"/>
        </w:rPr>
        <w:t>Propósito</w:t>
      </w:r>
    </w:p>
    <w:p>
      <w:pPr/>
      <w:r>
        <w:rPr>
          <w:lang w:val="pt_PT" w:bidi="pt_PT"/>
        </w:rPr>
      </w:r>
      <w:r>
        <w:rPr>
          <w:lang w:val="pt_PT" w:bidi="pt_PT"/>
        </w:rPr>
        <w:t>Demonstrar a soberania de Deus sobre todos, incluindo poderes apáticos ou antagônicos em relação a ele</w:t>
      </w:r>
    </w:p>
    <w:p>
      <w:pPr>
        <w:pStyle w:val="Heading3"/>
      </w:pPr>
      <w:r>
        <w:rPr>
          <w:lang w:val="pt_PT" w:bidi="pt_PT"/>
        </w:rPr>
        <w:t>Autor</w:t>
      </w:r>
    </w:p>
    <w:p>
      <w:pPr/>
      <w:r>
        <w:rPr>
          <w:lang w:val="pt_PT" w:bidi="pt_PT"/>
        </w:rPr>
      </w:r>
      <w:r>
        <w:rPr>
          <w:lang w:val="pt_PT" w:bidi="pt_PT"/>
        </w:rPr>
        <w:t>Provavelmente Daniel</w:t>
      </w:r>
    </w:p>
    <w:p>
      <w:pPr>
        <w:pStyle w:val="Heading3"/>
      </w:pPr>
      <w:r>
        <w:rPr>
          <w:lang w:val="pt_PT" w:bidi="pt_PT"/>
        </w:rPr>
        <w:t>Data</w:t>
      </w:r>
    </w:p>
    <w:p>
      <w:pPr/>
      <w:r>
        <w:rPr>
          <w:lang w:val="pt_PT" w:bidi="pt_PT"/>
        </w:rPr>
      </w:r>
      <w:r>
        <w:rPr>
          <w:lang w:val="pt_PT" w:bidi="pt_PT"/>
        </w:rPr>
        <w:t>Por volta de 605–535 a.C.</w:t>
      </w:r>
    </w:p>
    <w:p>
      <w:pPr>
        <w:pStyle w:val="Heading3"/>
      </w:pPr>
      <w:r>
        <w:rPr>
          <w:lang w:val="pt_PT" w:bidi="pt_PT"/>
        </w:rPr>
        <w:t>Cenário</w:t>
      </w:r>
    </w:p>
    <w:p>
      <w:pPr/>
      <w:r>
        <w:rPr>
          <w:lang w:val="pt_PT" w:bidi="pt_PT"/>
        </w:rPr>
      </w:r>
      <w:r>
        <w:rPr>
          <w:lang w:val="pt_PT" w:bidi="pt_PT"/>
        </w:rPr>
        <w:t>Babilônia, começando com a primeira onda de exilados de Judá e terminando na época do decreto de Ciro permitindo que os judeus voltassem para casa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