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JER</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Иеремии</w:t>
      </w:r>
      <w:r>
        <w:rPr>
          <w:lang w:val="ru_RU" w:bidi="ru_RU"/>
        </w:rPr>
      </w:r>
    </w:p>
    <w:p>
      <w:pPr/>
      <w:r>
        <w:rPr>
          <w:lang w:val="ru_RU" w:bidi="ru_RU"/>
        </w:rPr>
      </w:r>
      <w:r>
        <w:rPr>
          <w:lang w:val="ru_RU" w:bidi="ru_RU"/>
        </w:rPr>
        <w:t>Книга пророка Иеремии</w:t>
      </w:r>
    </w:p>
    <w:p>
      <w:pPr>
        <w:pStyle w:val="Heading3"/>
      </w:pPr>
      <w:r>
        <w:rPr>
          <w:lang w:val="ru_RU" w:bidi="ru_RU"/>
        </w:rPr>
        <w:t>Цель</w:t>
      </w:r>
    </w:p>
    <w:p>
      <w:pPr/>
      <w:r>
        <w:rPr>
          <w:lang w:val="ru_RU" w:bidi="ru_RU"/>
        </w:rPr>
      </w:r>
      <w:r>
        <w:rPr>
          <w:lang w:val="ru_RU" w:bidi="ru_RU"/>
        </w:rPr>
        <w:t>Предупредить Иуду о грядущем разрушении, изложить причины Божьего суда и призвать к новому посвящению Господу.</w:t>
      </w:r>
    </w:p>
    <w:p>
      <w:pPr>
        <w:pStyle w:val="Heading3"/>
      </w:pPr>
      <w:r>
        <w:rPr>
          <w:lang w:val="ru_RU" w:bidi="ru_RU"/>
        </w:rPr>
        <w:t>Автор</w:t>
      </w:r>
    </w:p>
    <w:p>
      <w:pPr/>
      <w:r>
        <w:rPr>
          <w:lang w:val="ru_RU" w:bidi="ru_RU"/>
        </w:rPr>
      </w:r>
      <w:r>
        <w:rPr>
          <w:lang w:val="ru_RU" w:bidi="ru_RU"/>
        </w:rPr>
        <w:t>Содержание восходит к Иеремии; возможно, записано Варухом.</w:t>
      </w:r>
    </w:p>
    <w:p>
      <w:pPr>
        <w:pStyle w:val="Heading3"/>
      </w:pPr>
      <w:r>
        <w:rPr>
          <w:lang w:val="ru_RU" w:bidi="ru_RU"/>
        </w:rPr>
        <w:t>Дата</w:t>
      </w:r>
    </w:p>
    <w:p>
      <w:pPr/>
      <w:r>
        <w:rPr>
          <w:lang w:val="ru_RU" w:bidi="ru_RU"/>
        </w:rPr>
      </w:r>
      <w:r>
        <w:rPr>
          <w:lang w:val="ru_RU" w:bidi="ru_RU"/>
        </w:rPr>
        <w:t>Приблизительно 627–580 гг. до Р.Х.</w:t>
      </w:r>
    </w:p>
    <w:p>
      <w:pPr>
        <w:pStyle w:val="Heading3"/>
      </w:pPr>
      <w:r>
        <w:rPr>
          <w:lang w:val="ru_RU" w:bidi="ru_RU"/>
        </w:rPr>
        <w:t>Контекст</w:t>
      </w:r>
    </w:p>
    <w:p>
      <w:pPr/>
      <w:r>
        <w:rPr>
          <w:lang w:val="ru_RU" w:bidi="ru_RU"/>
        </w:rPr>
      </w:r>
      <w:r>
        <w:rPr>
          <w:lang w:val="ru_RU" w:bidi="ru_RU"/>
        </w:rPr>
        <w:t>Последние годы Иудейского царства, вторжение и разрушение Иерусалима вавилонянами и первые годы изгнания Иуды</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