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JOL</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Иоиля</w:t>
      </w:r>
      <w:r>
        <w:rPr>
          <w:lang w:val="ru_RU" w:bidi="ru_RU"/>
        </w:rPr>
      </w:r>
    </w:p>
    <w:p>
      <w:pPr/>
      <w:r>
        <w:rPr>
          <w:lang w:val="ru_RU" w:bidi="ru_RU"/>
        </w:rPr>
      </w:r>
      <w:r>
        <w:rPr>
          <w:lang w:val="ru_RU" w:bidi="ru_RU"/>
        </w:rPr>
        <w:t>Книга пророка Иоиля</w:t>
      </w:r>
    </w:p>
    <w:p>
      <w:pPr>
        <w:pStyle w:val="Heading3"/>
      </w:pPr>
      <w:r>
        <w:rPr>
          <w:lang w:val="ru_RU" w:bidi="ru_RU"/>
        </w:rPr>
        <w:t>Цель</w:t>
      </w:r>
    </w:p>
    <w:p>
      <w:pPr/>
      <w:r>
        <w:rPr>
          <w:lang w:val="ru_RU" w:bidi="ru_RU"/>
        </w:rPr>
      </w:r>
      <w:r>
        <w:rPr>
          <w:lang w:val="ru_RU" w:bidi="ru_RU"/>
        </w:rPr>
        <w:t>Показать Божье всевластие и суд, подтолкнуть читателей к покаянию и пообещать восстановление.</w:t>
      </w:r>
    </w:p>
    <w:p>
      <w:pPr>
        <w:pStyle w:val="Heading3"/>
      </w:pPr>
      <w:r>
        <w:rPr>
          <w:lang w:val="ru_RU" w:bidi="ru_RU"/>
        </w:rPr>
        <w:t>Автор</w:t>
      </w:r>
    </w:p>
    <w:p>
      <w:pPr/>
      <w:r>
        <w:rPr>
          <w:lang w:val="ru_RU" w:bidi="ru_RU"/>
        </w:rPr>
      </w:r>
      <w:r>
        <w:rPr>
          <w:lang w:val="ru_RU" w:bidi="ru_RU"/>
        </w:rPr>
        <w:t>Иоиль</w:t>
      </w:r>
    </w:p>
    <w:p>
      <w:pPr>
        <w:pStyle w:val="Heading3"/>
      </w:pPr>
      <w:r>
        <w:rPr>
          <w:lang w:val="ru_RU" w:bidi="ru_RU"/>
        </w:rPr>
        <w:t>Дата</w:t>
      </w:r>
    </w:p>
    <w:p>
      <w:pPr/>
      <w:r>
        <w:rPr>
          <w:lang w:val="ru_RU" w:bidi="ru_RU"/>
        </w:rPr>
      </w:r>
      <w:r>
        <w:rPr>
          <w:lang w:val="ru_RU" w:bidi="ru_RU"/>
        </w:rPr>
        <w:t>Неизвестна</w:t>
      </w:r>
    </w:p>
    <w:p>
      <w:pPr>
        <w:pStyle w:val="Heading3"/>
      </w:pPr>
      <w:r>
        <w:rPr>
          <w:lang w:val="ru_RU" w:bidi="ru_RU"/>
        </w:rPr>
        <w:t>Контекст</w:t>
      </w:r>
    </w:p>
    <w:p>
      <w:pPr/>
      <w:r>
        <w:rPr>
          <w:lang w:val="ru_RU" w:bidi="ru_RU"/>
        </w:rPr>
      </w:r>
      <w:r>
        <w:rPr>
          <w:lang w:val="ru_RU" w:bidi="ru_RU"/>
        </w:rPr>
        <w:t>Земля Иуды во время катастрофического нашествия саранчи (толкуется по-разному, как в прямом, так и в переносном смысле)</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