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HAG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Аггея</w:t>
      </w:r>
      <w:r>
        <w:rPr>
          <w:lang w:val="ru_RU" w:bidi="ru_RU"/>
        </w:rPr>
      </w:r>
    </w:p>
    <w:p>
      <w:pPr/>
      <w:r>
        <w:rPr>
          <w:lang w:val="ru_RU" w:bidi="ru_RU"/>
        </w:rPr>
      </w:r>
      <w:r>
        <w:rPr>
          <w:lang w:val="ru_RU" w:bidi="ru_RU"/>
        </w:rPr>
        <w:t>Книга пророка Аггея</w:t>
      </w:r>
    </w:p>
    <w:p>
      <w:pPr>
        <w:pStyle w:val="Heading3"/>
      </w:pPr>
      <w:r>
        <w:rPr>
          <w:lang w:val="ru_RU" w:bidi="ru_RU"/>
        </w:rPr>
        <w:t>Цель</w:t>
      </w:r>
    </w:p>
    <w:p>
      <w:pPr/>
      <w:r>
        <w:rPr>
          <w:lang w:val="ru_RU" w:bidi="ru_RU"/>
        </w:rPr>
      </w:r>
      <w:r>
        <w:rPr>
          <w:lang w:val="ru_RU" w:bidi="ru_RU"/>
        </w:rPr>
        <w:t>Побудить евреев возобновить восстановление храма и способствовать их духовному обновлению.</w:t>
      </w:r>
    </w:p>
    <w:p>
      <w:pPr>
        <w:pStyle w:val="Heading3"/>
      </w:pPr>
      <w:r>
        <w:rPr>
          <w:lang w:val="ru_RU" w:bidi="ru_RU"/>
        </w:rPr>
        <w:t>Автор</w:t>
      </w:r>
    </w:p>
    <w:p>
      <w:pPr/>
      <w:r>
        <w:rPr>
          <w:lang w:val="ru_RU" w:bidi="ru_RU"/>
        </w:rPr>
      </w:r>
      <w:r>
        <w:rPr>
          <w:lang w:val="ru_RU" w:bidi="ru_RU"/>
        </w:rPr>
        <w:t>Аггей</w:t>
      </w:r>
    </w:p>
    <w:p>
      <w:pPr>
        <w:pStyle w:val="Heading3"/>
      </w:pPr>
      <w:r>
        <w:rPr>
          <w:lang w:val="ru_RU" w:bidi="ru_RU"/>
        </w:rPr>
        <w:t>Дата</w:t>
      </w:r>
    </w:p>
    <w:p>
      <w:pPr/>
      <w:r>
        <w:rPr>
          <w:lang w:val="ru_RU" w:bidi="ru_RU"/>
        </w:rPr>
      </w:r>
      <w:r>
        <w:rPr>
          <w:lang w:val="ru_RU" w:bidi="ru_RU"/>
        </w:rPr>
        <w:t>520 год до Р.Х.</w:t>
      </w:r>
    </w:p>
    <w:p>
      <w:pPr>
        <w:pStyle w:val="Heading3"/>
      </w:pPr>
      <w:r>
        <w:rPr>
          <w:lang w:val="ru_RU" w:bidi="ru_RU"/>
        </w:rPr>
        <w:t>Контекст</w:t>
      </w:r>
    </w:p>
    <w:p>
      <w:pPr/>
      <w:r>
        <w:rPr>
          <w:lang w:val="ru_RU" w:bidi="ru_RU"/>
        </w:rPr>
      </w:r>
      <w:r>
        <w:rPr>
          <w:lang w:val="ru_RU" w:bidi="ru_RU"/>
        </w:rPr>
        <w:t>Иерусалим спустя почти двадцать лет после того, как Кир разрешил евреям вернуться и отстроить храм.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