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Samuel</w:t>
      </w:r>
      <w:r>
        <w:rPr>
          <w:lang w:val="es_ES" w:bidi="es_ES"/>
        </w:rPr>
      </w:r>
    </w:p>
    <w:p>
      <w:pPr/>
      <w:r>
        <w:rPr>
          <w:lang w:val="es_ES" w:bidi="es_ES"/>
        </w:rPr>
      </w:r>
      <w:r>
        <w:rPr>
          <w:lang w:val="es_ES" w:bidi="es_ES"/>
        </w:rPr>
        <w:t>El Segundo Libro de Samuel</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Describir el reinado de David</w:t>
      </w:r>
    </w:p>
    <w:p>
      <w:pPr>
        <w:pStyle w:val="ListNumber"/>
        <w:spacing w:line="240" w:lineRule="auto"/>
        <w:ind w:left="720"/>
      </w:pPr>
      <w:r>
        <w:rPr>
          <w:lang w:val="es_ES" w:bidi="es_ES"/>
        </w:rPr>
      </w:r>
      <w:r>
        <w:rPr>
          <w:lang w:val="es_ES" w:bidi="es_ES"/>
        </w:rPr>
        <w:t>Demostrar el compromiso de Dios con el linaje de David</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ocurrieron alrededor de 1011–971 a.C.</w:t>
      </w:r>
    </w:p>
    <w:p>
      <w:pPr>
        <w:pStyle w:val="Heading3"/>
      </w:pPr>
      <w:r>
        <w:rPr>
          <w:lang w:val="es_ES" w:bidi="es_ES"/>
        </w:rPr>
        <w:t>Contexto</w:t>
      </w:r>
    </w:p>
    <w:p>
      <w:pPr/>
      <w:r>
        <w:rPr>
          <w:lang w:val="es_ES" w:bidi="es_ES"/>
        </w:rPr>
      </w:r>
      <w:r>
        <w:rPr>
          <w:lang w:val="es_ES" w:bidi="es_ES"/>
        </w:rPr>
        <w:t>Tras la muerte del rey Saúl, David buscó establecer su trono sobre todo Israel y expandir el territorio israelita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