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NEH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Nehemías</w:t>
      </w:r>
      <w:r>
        <w:rPr>
          <w:lang w:val="es_ES" w:bidi="es_ES"/>
        </w:rPr>
      </w:r>
    </w:p>
    <w:p>
      <w:pPr/>
      <w:r>
        <w:rPr>
          <w:lang w:val="es_ES" w:bidi="es_ES"/>
        </w:rPr>
      </w:r>
      <w:r>
        <w:rPr>
          <w:lang w:val="es_ES" w:bidi="es_ES"/>
        </w:rPr>
        <w:t>El Libro de Nehemías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Relatar la reconstrucción de las murallas de Jerusalén</w:t>
      </w:r>
    </w:p>
    <w:p>
      <w:pPr>
        <w:pStyle w:val="ListNumber"/>
        <w:spacing w:line="240" w:lineRule="auto"/>
        <w:ind w:left="720"/>
      </w:pPr>
      <w:r>
        <w:rPr>
          <w:lang w:val="es_ES" w:bidi="es_ES"/>
        </w:rPr>
      </w:r>
      <w:r>
        <w:rPr>
          <w:lang w:val="es_ES" w:bidi="es_ES"/>
        </w:rPr>
        <w:t>Demostrar la fidelidad de Dios a aquellos dedicados a él</w:t>
      </w:r>
    </w:p>
    <w:p>
      <w:pPr>
        <w:pStyle w:val="Heading3"/>
      </w:pPr>
      <w:r>
        <w:rPr>
          <w:lang w:val="es_ES" w:bidi="es_ES"/>
        </w:rPr>
        <w:t>Autor</w:t>
      </w:r>
    </w:p>
    <w:p>
      <w:pPr/>
      <w:r>
        <w:rPr>
          <w:lang w:val="es_ES" w:bidi="es_ES"/>
        </w:rPr>
      </w:r>
      <w:r>
        <w:rPr>
          <w:lang w:val="es_ES" w:bidi="es_ES"/>
        </w:rPr>
        <w:t>Esdras, según la tradición</w:t>
      </w:r>
    </w:p>
    <w:p>
      <w:pPr>
        <w:pStyle w:val="Heading3"/>
      </w:pPr>
      <w:r>
        <w:rPr>
          <w:lang w:val="es_ES" w:bidi="es_ES"/>
        </w:rPr>
        <w:t>Fecha</w:t>
      </w:r>
    </w:p>
    <w:p>
      <w:pPr/>
      <w:r>
        <w:rPr>
          <w:lang w:val="es_ES" w:bidi="es_ES"/>
        </w:rPr>
      </w:r>
      <w:r>
        <w:rPr>
          <w:lang w:val="es_ES" w:bidi="es_ES"/>
        </w:rPr>
        <w:t>Registra eventos que ocurrieron alrededor de 445–430 a.C.</w:t>
      </w:r>
    </w:p>
    <w:p>
      <w:pPr>
        <w:pStyle w:val="Heading3"/>
      </w:pPr>
      <w:r>
        <w:rPr>
          <w:lang w:val="es_ES" w:bidi="es_ES"/>
        </w:rPr>
        <w:t>Contexto</w:t>
      </w:r>
    </w:p>
    <w:p>
      <w:pPr/>
      <w:r>
        <w:rPr>
          <w:lang w:val="es_ES" w:bidi="es_ES"/>
        </w:rPr>
      </w:r>
      <w:r>
        <w:rPr>
          <w:lang w:val="es_ES" w:bidi="es_ES"/>
        </w:rPr>
        <w:t>Jerusalén, aproximadamente quince años después de la llegada de Esdras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