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EST</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Ester</w:t>
      </w:r>
      <w:r>
        <w:rPr>
          <w:lang w:val="es_ES" w:bidi="es_ES"/>
        </w:rPr>
      </w:r>
    </w:p>
    <w:p>
      <w:pPr/>
      <w:r>
        <w:rPr>
          <w:lang w:val="es_ES" w:bidi="es_ES"/>
        </w:rPr>
      </w:r>
      <w:r>
        <w:rPr>
          <w:lang w:val="es_ES" w:bidi="es_ES"/>
        </w:rPr>
        <w:t>El Libro de Ester</w:t>
      </w:r>
    </w:p>
    <w:p>
      <w:pPr>
        <w:pStyle w:val="Heading3"/>
      </w:pPr>
      <w:r>
        <w:rPr>
          <w:lang w:val="es_ES" w:bidi="es_ES"/>
        </w:rPr>
        <w:t>Propósito</w:t>
      </w:r>
    </w:p>
    <w:p>
      <w:pPr>
        <w:pStyle w:val="ListNumber"/>
        <w:numPr>
          <w:ilvl w:val="0"/>
          <w:numId w:val="14"/>
        </w:numPr>
        <w:spacing w:line="240" w:lineRule="auto"/>
        <w:ind w:left="720"/>
      </w:pPr>
      <w:r>
        <w:rPr>
          <w:lang w:val="es_ES" w:bidi="es_ES"/>
        </w:rPr>
      </w:r>
      <w:r>
        <w:rPr>
          <w:lang w:val="es_ES" w:bidi="es_ES"/>
        </w:rPr>
        <w:t>Demostrar el cuidado providencial de Dios hacia su pueblo</w:t>
      </w:r>
    </w:p>
    <w:p>
      <w:pPr>
        <w:pStyle w:val="ListNumber"/>
        <w:spacing w:line="240" w:lineRule="auto"/>
        <w:ind w:left="720"/>
      </w:pPr>
      <w:r>
        <w:rPr>
          <w:lang w:val="es_ES" w:bidi="es_ES"/>
        </w:rPr>
      </w:r>
      <w:r>
        <w:rPr>
          <w:lang w:val="es_ES" w:bidi="es_ES"/>
        </w:rPr>
        <w:t>Rastrear el origen del Festival de Purim</w:t>
      </w:r>
    </w:p>
    <w:p>
      <w:pPr>
        <w:pStyle w:val="Heading3"/>
      </w:pPr>
      <w:r>
        <w:rPr>
          <w:lang w:val="es_ES" w:bidi="es_ES"/>
        </w:rPr>
        <w:t>Autor</w:t>
      </w:r>
    </w:p>
    <w:p>
      <w:pPr/>
      <w:r>
        <w:rPr>
          <w:lang w:val="es_ES" w:bidi="es_ES"/>
        </w:rPr>
      </w:r>
      <w:r>
        <w:rPr>
          <w:lang w:val="es_ES" w:bidi="es_ES"/>
        </w:rPr>
        <w:t>Desconocido</w:t>
      </w:r>
    </w:p>
    <w:p>
      <w:pPr>
        <w:pStyle w:val="Heading3"/>
      </w:pPr>
      <w:r>
        <w:rPr>
          <w:lang w:val="es_ES" w:bidi="es_ES"/>
        </w:rPr>
        <w:t>Fecha</w:t>
      </w:r>
    </w:p>
    <w:p>
      <w:pPr/>
      <w:r>
        <w:rPr>
          <w:lang w:val="es_ES" w:bidi="es_ES"/>
        </w:rPr>
      </w:r>
      <w:r>
        <w:rPr>
          <w:lang w:val="es_ES" w:bidi="es_ES"/>
        </w:rPr>
        <w:t>Registra eventos que ocurrieron alrededor de 483–473 a.C.</w:t>
      </w:r>
    </w:p>
    <w:p>
      <w:pPr>
        <w:pStyle w:val="Heading3"/>
      </w:pPr>
      <w:r>
        <w:rPr>
          <w:lang w:val="es_ES" w:bidi="es_ES"/>
        </w:rPr>
        <w:t>Contexto</w:t>
      </w:r>
    </w:p>
    <w:p>
      <w:pPr/>
      <w:r>
        <w:rPr>
          <w:lang w:val="es_ES" w:bidi="es_ES"/>
        </w:rPr>
      </w:r>
      <w:r>
        <w:rPr>
          <w:lang w:val="es_ES" w:bidi="es_ES"/>
        </w:rPr>
        <w:t>La capital persa, Susa, durante el reinado de Jerjes, después de que muchos judíos habían regresado a Judea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