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SNG</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Cantar de los Cantares</w:t>
      </w:r>
      <w:r>
        <w:rPr>
          <w:lang w:val="es_ES" w:bidi="es_ES"/>
        </w:rPr>
      </w:r>
    </w:p>
    <w:p>
      <w:pPr/>
      <w:r>
        <w:rPr>
          <w:lang w:val="es_ES" w:bidi="es_ES"/>
        </w:rPr>
      </w:r>
      <w:r>
        <w:rPr>
          <w:lang w:val="es_ES" w:bidi="es_ES"/>
        </w:rPr>
        <w:t>El Cantar de los Cantares</w:t>
      </w:r>
    </w:p>
    <w:p>
      <w:pPr>
        <w:pStyle w:val="Heading3"/>
      </w:pPr>
      <w:r>
        <w:rPr>
          <w:lang w:val="es_ES" w:bidi="es_ES"/>
        </w:rPr>
        <w:t>Propósito</w:t>
      </w:r>
    </w:p>
    <w:p>
      <w:pPr/>
      <w:r>
        <w:rPr>
          <w:lang w:val="es_ES" w:bidi="es_ES"/>
        </w:rPr>
      </w:r>
      <w:r>
        <w:rPr>
          <w:lang w:val="es_ES" w:bidi="es_ES"/>
        </w:rPr>
        <w:t>Para celebrar los dones de amor y sexualidad dados por Dios</w:t>
      </w:r>
    </w:p>
    <w:p>
      <w:pPr>
        <w:pStyle w:val="Heading3"/>
      </w:pPr>
      <w:r>
        <w:rPr>
          <w:lang w:val="es_ES" w:bidi="es_ES"/>
        </w:rPr>
        <w:t>Autor</w:t>
      </w:r>
    </w:p>
    <w:p>
      <w:pPr/>
      <w:r>
        <w:rPr>
          <w:lang w:val="es_ES" w:bidi="es_ES"/>
        </w:rPr>
      </w:r>
      <w:r>
        <w:rPr>
          <w:lang w:val="es_ES" w:bidi="es_ES"/>
        </w:rPr>
        <w:t>Salomón; otros posibles colaboradores</w:t>
      </w:r>
    </w:p>
    <w:p>
      <w:pPr>
        <w:pStyle w:val="Heading3"/>
      </w:pPr>
      <w:r>
        <w:rPr>
          <w:lang w:val="es_ES" w:bidi="es_ES"/>
        </w:rPr>
        <w:t>Fecha</w:t>
      </w:r>
    </w:p>
    <w:p>
      <w:pPr/>
      <w:r>
        <w:rPr>
          <w:lang w:val="es_ES" w:bidi="es_ES"/>
        </w:rPr>
      </w:r>
      <w:r>
        <w:rPr>
          <w:lang w:val="es_ES" w:bidi="es_ES"/>
        </w:rPr>
        <w:t>Desconocido, pero después del 971 a.C.</w:t>
      </w:r>
    </w:p>
    <w:p>
      <w:pPr>
        <w:pStyle w:val="Heading3"/>
      </w:pPr>
      <w:r>
        <w:rPr>
          <w:lang w:val="es_ES" w:bidi="es_ES"/>
        </w:rPr>
        <w:t>Contexto</w:t>
      </w:r>
    </w:p>
    <w:p>
      <w:pPr/>
      <w:r>
        <w:rPr>
          <w:lang w:val="es_ES" w:bidi="es_ES"/>
        </w:rPr>
      </w:r>
      <w:r>
        <w:rPr>
          <w:lang w:val="es_ES" w:bidi="es_ES"/>
        </w:rPr>
        <w:t>El libro está asociado con el reinado del Rey Salomón, pero su falta de una trama clara hace que sea difícil identificar el contexto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