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DAN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Daniel</w:t>
      </w:r>
      <w:r>
        <w:rPr>
          <w:lang w:val="es_ES" w:bidi="es_ES"/>
        </w:rPr>
      </w:r>
    </w:p>
    <w:p>
      <w:pPr/>
      <w:r>
        <w:rPr>
          <w:lang w:val="es_ES" w:bidi="es_ES"/>
        </w:rPr>
      </w:r>
      <w:r>
        <w:rPr>
          <w:lang w:val="es_ES" w:bidi="es_ES"/>
        </w:rPr>
        <w:t>El Libro de Daniel</w:t>
      </w:r>
    </w:p>
    <w:p>
      <w:pPr>
        <w:pStyle w:val="Heading3"/>
      </w:pPr>
      <w:r>
        <w:rPr>
          <w:lang w:val="es_ES" w:bidi="es_ES"/>
        </w:rPr>
        <w:t>Propósito</w:t>
      </w:r>
    </w:p>
    <w:p>
      <w:pPr/>
      <w:r>
        <w:rPr>
          <w:lang w:val="es_ES" w:bidi="es_ES"/>
        </w:rPr>
      </w:r>
      <w:r>
        <w:rPr>
          <w:lang w:val="es_ES" w:bidi="es_ES"/>
        </w:rPr>
        <w:t>Demostrar la soberanía de Dios (el poder y la autoridad para gobernar) sobre todo, incluidas las fuerzas que no se preocupan por él o se oponen a él</w:t>
      </w:r>
    </w:p>
    <w:p>
      <w:pPr>
        <w:pStyle w:val="Heading3"/>
      </w:pPr>
      <w:r>
        <w:rPr>
          <w:lang w:val="es_ES" w:bidi="es_ES"/>
        </w:rPr>
        <w:t>Autor</w:t>
      </w:r>
    </w:p>
    <w:p>
      <w:pPr/>
      <w:r>
        <w:rPr>
          <w:lang w:val="es_ES" w:bidi="es_ES"/>
        </w:rPr>
      </w:r>
      <w:r>
        <w:rPr>
          <w:lang w:val="es_ES" w:bidi="es_ES"/>
        </w:rPr>
        <w:t>Probablemente Daniel</w:t>
      </w:r>
    </w:p>
    <w:p>
      <w:pPr>
        <w:pStyle w:val="Heading3"/>
      </w:pPr>
      <w:r>
        <w:rPr>
          <w:lang w:val="es_ES" w:bidi="es_ES"/>
        </w:rPr>
        <w:t>Fecha</w:t>
      </w:r>
    </w:p>
    <w:p>
      <w:pPr/>
      <w:r>
        <w:rPr>
          <w:lang w:val="es_ES" w:bidi="es_ES"/>
        </w:rPr>
      </w:r>
      <w:r>
        <w:rPr>
          <w:lang w:val="es_ES" w:bidi="es_ES"/>
        </w:rPr>
        <w:t>Alrededor de 605–535 a.C.</w:t>
      </w:r>
    </w:p>
    <w:p>
      <w:pPr>
        <w:pStyle w:val="Heading3"/>
      </w:pPr>
      <w:r>
        <w:rPr>
          <w:lang w:val="es_ES" w:bidi="es_ES"/>
        </w:rPr>
        <w:t>Contexto</w:t>
      </w:r>
    </w:p>
    <w:p>
      <w:pPr/>
      <w:r>
        <w:rPr>
          <w:lang w:val="es_ES" w:bidi="es_ES"/>
        </w:rPr>
      </w:r>
      <w:r>
        <w:rPr>
          <w:lang w:val="es_ES" w:bidi="es_ES"/>
        </w:rPr>
        <w:t>Babilonia, comenzando cuando el primer grupo de exiliados fue llevado de Judá, y terminando alrededor de la época del decreto de Ciro que permitía a los judíos regresar a casa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