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Timoteo</w:t>
      </w:r>
      <w:r>
        <w:rPr>
          <w:lang w:val="es_ES" w:bidi="es_ES"/>
        </w:rPr>
      </w:r>
    </w:p>
    <w:p>
      <w:pPr/>
      <w:r>
        <w:rPr>
          <w:lang w:val="es_ES" w:bidi="es_ES"/>
        </w:rPr>
      </w:r>
      <w:r>
        <w:rPr>
          <w:lang w:val="es_ES" w:bidi="es_ES"/>
        </w:rPr>
        <w:t>La Segunda Carta de Pablo a Timoteo</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Encargar a Timoteo que continúe el trabajo que Pablo había comenzado</w:t>
      </w:r>
    </w:p>
    <w:p>
      <w:pPr>
        <w:pStyle w:val="ListNumber"/>
        <w:spacing w:line="240" w:lineRule="auto"/>
        <w:ind w:left="720"/>
      </w:pPr>
      <w:r>
        <w:rPr>
          <w:lang w:val="es_ES" w:bidi="es_ES"/>
        </w:rPr>
      </w:r>
      <w:r>
        <w:rPr>
          <w:lang w:val="es_ES" w:bidi="es_ES"/>
        </w:rPr>
        <w:t>Animar a Timoteo a soportar el sufrimiento</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Probablemente alrededor del año 64 d.C.</w:t>
      </w:r>
    </w:p>
    <w:p>
      <w:pPr>
        <w:pStyle w:val="Heading3"/>
      </w:pPr>
      <w:r>
        <w:rPr>
          <w:lang w:val="es_ES" w:bidi="es_ES"/>
        </w:rPr>
        <w:t>Contexto</w:t>
      </w:r>
    </w:p>
    <w:p>
      <w:pPr/>
      <w:r>
        <w:rPr>
          <w:lang w:val="es_ES" w:bidi="es_ES"/>
        </w:rPr>
      </w:r>
      <w:r>
        <w:rPr>
          <w:lang w:val="es_ES" w:bidi="es_ES"/>
        </w:rPr>
        <w:t>Probablemente escrito durante el segundo encarcelamiento de Pablo en Roma, poco antes de su muerte, que él entendía que sucedería pronto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