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JDG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法官們</w:t>
      </w:r>
      <w:r>
        <w:rPr>
          <w:lang w:val="zh_TW" w:bidi="zh_TW"/>
        </w:rPr>
      </w:r>
    </w:p>
    <w:p>
      <w:pPr/>
      <w:r>
        <w:rPr>
          <w:lang w:val="zh_TW" w:bidi="zh_TW"/>
        </w:rPr>
      </w:r>
      <w:r>
        <w:rPr>
          <w:lang w:val="zh_TW" w:bidi="zh_TW"/>
        </w:rPr>
        <w:t>士師記</w:t>
      </w:r>
    </w:p>
    <w:p>
      <w:pPr>
        <w:pStyle w:val="Heading3"/>
      </w:pPr>
      <w:r>
        <w:rPr>
          <w:lang w:val="zh_TW" w:bidi="zh_TW"/>
        </w:rPr>
        <w:t>寫作目的</w:t>
      </w:r>
    </w:p>
    <w:p>
      <w:pPr/>
      <w:r>
        <w:rPr>
          <w:lang w:val="zh_TW" w:bidi="zh_TW"/>
        </w:rPr>
      </w:r>
      <w:r>
        <w:rPr>
          <w:lang w:val="zh_TW" w:bidi="zh_TW"/>
        </w:rPr>
        <w:t>描述士師統治的時期，並提出支持以色列建立君主制的理由</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記錄發生在公元前1376–1050年或公元前1200–1050年的事件</w:t>
      </w:r>
    </w:p>
    <w:p>
      <w:pPr>
        <w:pStyle w:val="Heading3"/>
      </w:pPr>
      <w:r>
        <w:rPr>
          <w:lang w:val="zh_TW" w:bidi="zh_TW"/>
        </w:rPr>
        <w:t>背景</w:t>
      </w:r>
    </w:p>
    <w:p>
      <w:pPr/>
      <w:r>
        <w:rPr>
          <w:lang w:val="zh_TW" w:bidi="zh_TW"/>
        </w:rPr>
      </w:r>
      <w:r>
        <w:rPr>
          <w:lang w:val="zh_TW" w:bidi="zh_TW"/>
        </w:rPr>
        <w:t>以色列未能完全征服應許之地，並面臨敵人的反覆壓迫</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