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撒母耳記上</w:t>
      </w:r>
      <w:r>
        <w:rPr>
          <w:lang w:val="zh_TW" w:bidi="zh_TW"/>
        </w:rPr>
      </w:r>
    </w:p>
    <w:p>
      <w:pPr/>
      <w:r>
        <w:rPr>
          <w:lang w:val="zh_TW" w:bidi="zh_TW"/>
        </w:rPr>
      </w:r>
      <w:r>
        <w:rPr>
          <w:lang w:val="zh_TW" w:bidi="zh_TW"/>
        </w:rPr>
        <w:t>撒母耳記上</w:t>
      </w:r>
    </w:p>
    <w:p>
      <w:pPr>
        <w:pStyle w:val="Heading3"/>
      </w:pPr>
      <w:r>
        <w:rPr>
          <w:lang w:val="zh_TW" w:bidi="zh_TW"/>
        </w:rPr>
        <w:t>寫作目的</w:t>
      </w:r>
    </w:p>
    <w:p>
      <w:pPr/>
      <w:r>
        <w:rPr>
          <w:lang w:val="zh_TW" w:bidi="zh_TW"/>
        </w:rPr>
      </w:r>
      <w:r>
        <w:rPr>
          <w:lang w:val="zh_TW" w:bidi="zh_TW"/>
        </w:rPr>
        <w:t>描述以色列君主制的建立，並凸顯以色列一開始兩位國王的不同特質</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記錄發生在公元前1050–1011年的事件</w:t>
      </w:r>
    </w:p>
    <w:p>
      <w:pPr>
        <w:pStyle w:val="Heading3"/>
      </w:pPr>
      <w:r>
        <w:rPr>
          <w:lang w:val="zh_TW" w:bidi="zh_TW"/>
        </w:rPr>
        <w:t>背景</w:t>
      </w:r>
    </w:p>
    <w:p>
      <w:pPr/>
      <w:r>
        <w:rPr>
          <w:lang w:val="zh_TW" w:bidi="zh_TW"/>
        </w:rPr>
      </w:r>
      <w:r>
        <w:rPr>
          <w:lang w:val="zh_TW" w:bidi="zh_TW"/>
        </w:rPr>
        <w:t>記錄從士師時期到以色列君主制的轉變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