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zh_TW" w:bidi="zh_TW"/>
        </w:rPr>
      </w:r>
    </w:p>
    <w:p>
      <w:pPr>
        <w:pStyle w:val="Heading2"/>
      </w:pPr>
      <w:r>
        <w:rPr>
          <w:lang w:val="zh_TW" w:bidi="zh_TW"/>
        </w:rPr>
        <w:t>Resource: Aquifer Open Study Notes (Book Intro Summaries)</w:t>
      </w:r>
      <w:r>
        <w:rPr>
          <w:lang w:val="zh_TW" w:bidi="zh_TW"/>
        </w:rPr>
      </w:r>
    </w:p>
    <w:p>
      <w:pPr/>
      <w:r>
        <w:rPr>
          <w:lang w:val="zh_TW" w:bidi="zh_TW"/>
        </w:rPr>
      </w:r>
      <w:r>
        <w:rPr>
          <w:b/>
          <w:lang w:val="zh_TW" w:bidi="zh_TW"/>
        </w:rPr>
        <w:t>Aquifer Open Study Notes (Book Intro Summaries)</w:t>
      </w:r>
    </w:p>
    <w:p>
      <w:pPr/>
      <w:r>
        <w:rPr>
          <w:lang w:val="zh_TW" w:bidi="zh_TW"/>
        </w:rPr>
      </w:r>
      <w:r>
        <w:rPr>
          <w:lang w:val="zh_TW" w:bidi="zh_TW"/>
        </w:rPr>
        <w:t xml:space="preserve">This work is an adaptation of </w:t>
      </w:r>
      <w:r>
        <w:rPr>
          <w:lang w:val="zh_TW" w:bidi="zh_TW"/>
        </w:rPr>
        <w:t>Tyndale Open Study Notes</w:t>
      </w:r>
      <w:r>
        <w:rPr>
          <w:lang w:val="zh_TW" w:bidi="zh_TW"/>
        </w:rPr>
        <w:t xml:space="preserve"> © 2023 Tyndale House Publishers, licensed under the CC BY-SA 4.0 license. The adaptation, </w:t>
      </w:r>
      <w:r>
        <w:rPr>
          <w:lang w:val="zh_TW" w:bidi="zh_TW"/>
        </w:rPr>
        <w:t>Aquifer Open Study Notes</w:t>
      </w:r>
      <w:r>
        <w:rPr>
          <w:lang w:val="zh_TW" w:bidi="zh_TW"/>
        </w:rPr>
        <w:t>, was created by Mission Mutual and is also licensed under CC BY-SA 4.0.</w:t>
      </w:r>
    </w:p>
    <w:p>
      <w:pPr/>
      <w:r>
        <w:rPr>
          <w:lang w:val="zh_TW" w:bidi="zh_TW"/>
        </w:rPr>
      </w:r>
      <w:r>
        <w:rPr>
          <w:lang w:val="zh_TW" w:bidi="zh_TW"/>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zh_TW" w:bidi="zh_TW"/>
        </w:rPr>
      </w:r>
      <w:r>
        <w:rPr>
          <w:lang w:val="zh_TW" w:bidi="zh_TW"/>
        </w:rPr>
      </w:r>
    </w:p>
    <w:p>
      <w:pPr>
        <w:pStyle w:val="Heading1"/>
      </w:pPr>
      <w:r>
        <w:rPr>
          <w:lang w:val="zh_TW" w:bidi="zh_TW"/>
        </w:rPr>
        <w:t>Aquifer Open Study Notes (Book Intro Summaries)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EZK</w:t>
      </w:r>
      <w:r>
        <w:rPr>
          <w:lang w:val="zh_TW" w:bidi="zh_TW"/>
        </w:rPr>
      </w:r>
    </w:p>
    <w:p>
      <w:pPr/>
      <w:r>
        <w:rPr>
          <w:lang w:val="zh_TW" w:bidi="zh_TW"/>
        </w:rPr>
      </w:r>
      <w:r>
        <w:rPr>
          <w:lang w:val="zh_TW" w:bidi="zh_TW"/>
        </w:rPr>
        <w:t xml:space="preserve"> </w:t>
      </w:r>
      <w:r>
        <w:rPr>
          <w:lang w:val="zh_TW" w:bidi="zh_TW"/>
        </w:rPr>
      </w:r>
      <w:r>
        <w:rPr>
          <w:lang w:val="zh_TW" w:bidi="zh_TW"/>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以西結</w:t>
      </w:r>
      <w:r>
        <w:rPr>
          <w:lang w:val="zh_TW" w:bidi="zh_TW"/>
        </w:rPr>
      </w:r>
    </w:p>
    <w:p>
      <w:pPr/>
      <w:r>
        <w:rPr>
          <w:lang w:val="zh_TW" w:bidi="zh_TW"/>
        </w:rPr>
      </w:r>
      <w:r>
        <w:rPr>
          <w:lang w:val="zh_TW" w:bidi="zh_TW"/>
        </w:rPr>
        <w:t>以西結書</w:t>
      </w:r>
    </w:p>
    <w:p>
      <w:pPr>
        <w:pStyle w:val="Heading3"/>
      </w:pPr>
      <w:r>
        <w:rPr>
          <w:lang w:val="zh_TW" w:bidi="zh_TW"/>
        </w:rPr>
        <w:t>寫作目的</w:t>
      </w:r>
    </w:p>
    <w:p>
      <w:pPr/>
      <w:r>
        <w:rPr>
          <w:lang w:val="zh_TW" w:bidi="zh_TW"/>
        </w:rPr>
      </w:r>
      <w:r>
        <w:rPr>
          <w:lang w:val="zh_TW" w:bidi="zh_TW"/>
        </w:rPr>
        <w:t>宣告對猶大的審判將臨，並在耶路撒冷被毀滅後提供希望</w:t>
      </w:r>
    </w:p>
    <w:p>
      <w:pPr>
        <w:pStyle w:val="Heading3"/>
      </w:pPr>
      <w:r>
        <w:rPr>
          <w:lang w:val="zh_TW" w:bidi="zh_TW"/>
        </w:rPr>
        <w:t>作者</w:t>
      </w:r>
    </w:p>
    <w:p>
      <w:pPr/>
      <w:r>
        <w:rPr>
          <w:lang w:val="zh_TW" w:bidi="zh_TW"/>
        </w:rPr>
      </w:r>
      <w:r>
        <w:rPr>
          <w:lang w:val="zh_TW" w:bidi="zh_TW"/>
        </w:rPr>
        <w:t>以西結</w:t>
      </w:r>
    </w:p>
    <w:p>
      <w:pPr>
        <w:pStyle w:val="Heading3"/>
      </w:pPr>
      <w:r>
        <w:rPr>
          <w:lang w:val="zh_TW" w:bidi="zh_TW"/>
        </w:rPr>
        <w:t>日期</w:t>
      </w:r>
    </w:p>
    <w:p>
      <w:pPr/>
      <w:r>
        <w:rPr>
          <w:lang w:val="zh_TW" w:bidi="zh_TW"/>
        </w:rPr>
      </w:r>
      <w:r>
        <w:rPr>
          <w:lang w:val="zh_TW" w:bidi="zh_TW"/>
        </w:rPr>
        <w:t>約公元前593–571年</w:t>
      </w:r>
    </w:p>
    <w:p>
      <w:pPr>
        <w:pStyle w:val="Heading3"/>
      </w:pPr>
      <w:r>
        <w:rPr>
          <w:lang w:val="zh_TW" w:bidi="zh_TW"/>
        </w:rPr>
        <w:t>背景</w:t>
      </w:r>
    </w:p>
    <w:p>
      <w:pPr/>
      <w:r>
        <w:rPr>
          <w:lang w:val="zh_TW" w:bidi="zh_TW"/>
        </w:rPr>
      </w:r>
      <w:r>
        <w:rPr>
          <w:lang w:val="zh_TW" w:bidi="zh_TW"/>
        </w:rPr>
        <w:t>被擄到巴比倫的期間，在耶路撒冷被毀之前、期間和之後</w:t>
      </w:r>
      <w:r>
        <w:rPr>
          <w:lang w:val="zh_TW" w:bidi="zh_TW"/>
        </w:rPr>
      </w:r>
      <w:r>
        <w:rPr>
          <w:lang w:val="zh_TW" w:bidi="zh_TW"/>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zh_TW"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