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Paul’s Second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instill hope in the midst of persecution </w:t>
      </w:r>
    </w:p>
    <w:p>
      <w:pPr>
        <w:pStyle w:val="ListNumber"/>
        <w:spacing w:line="240" w:lineRule="auto"/>
        <w:ind w:left="720"/>
      </w:pPr>
      <w:r>
        <w:rPr>
          <w:lang w:val="en_US" w:bidi="en_US"/>
        </w:rPr>
      </w:r>
      <w:r>
        <w:rPr>
          <w:lang w:val="en_US" w:bidi="en_US"/>
        </w:rPr>
        <w:t>To address false teaching and idleness in the community</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51</w:t>
      </w:r>
    </w:p>
    <w:p>
      <w:pPr>
        <w:pStyle w:val="Heading3"/>
      </w:pPr>
      <w:r>
        <w:rPr>
          <w:lang w:val="en_US" w:bidi="en_US"/>
        </w:rPr>
        <w:t>Setting</w:t>
      </w:r>
    </w:p>
    <w:p>
      <w:pPr/>
      <w:r>
        <w:rPr>
          <w:lang w:val="en_US" w:bidi="en_US"/>
        </w:rPr>
      </w:r>
      <w:r>
        <w:rPr>
          <w:lang w:val="en_US" w:bidi="en_US"/>
        </w:rPr>
        <w:t>Written soon after 1 Thessalonians, after persecution had increased in Thessalonica and false teaching had emerged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