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Paulus kepada Filemon</w:t>
      </w:r>
    </w:p>
    <w:p>
      <w:pPr>
        <w:pStyle w:val="Heading3"/>
      </w:pPr>
      <w:r>
        <w:rPr>
          <w:lang w:val="id_ID" w:bidi="id_ID"/>
        </w:rPr>
        <w:t>Tujuan</w:t>
      </w:r>
    </w:p>
    <w:p>
      <w:pPr/>
      <w:r>
        <w:rPr>
          <w:lang w:val="id_ID" w:bidi="id_ID"/>
        </w:rPr>
      </w:r>
      <w:r>
        <w:rPr>
          <w:lang w:val="id_ID" w:bidi="id_ID"/>
        </w:rPr>
        <w:t>Mendorong Filemon untuk menerima kembali budaknya, Onesimus, yang telah menjadi orang percaya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berjumpa dengan Onesimus, yang sepertinya merupakan budak yang lari dari Filemon, seorang pemimpin Kristen di kota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