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الخروج</w:t>
      </w:r>
      <w:r>
        <w:rPr>
          <w:lang w:val="ar_AE" w:bidi="ar_AE"/>
        </w:rPr>
      </w:r>
    </w:p>
    <w:p>
      <w:pPr>
        <w:bidi/>
      </w:pPr>
      <w:r>
        <w:rPr>
          <w:lang w:val="ar_AE" w:bidi="ar_AE"/>
        </w:rPr>
      </w:r>
      <w:r>
        <w:rPr>
          <w:lang w:val="ar_AE" w:bidi="ar_AE"/>
        </w:rPr>
        <w:t>سِفر الخروج</w:t>
      </w:r>
    </w:p>
    <w:p>
      <w:pPr>
        <w:pStyle w:val="Heading3"/>
        <w:bidi/>
      </w:pPr>
      <w:r>
        <w:rPr>
          <w:lang w:val="ar_AE" w:bidi="ar_AE"/>
        </w:rPr>
        <w:t>الهدف</w:t>
      </w:r>
    </w:p>
    <w:p>
      <w:pPr>
        <w:bidi/>
      </w:pPr>
      <w:r>
        <w:rPr>
          <w:lang w:val="ar_AE" w:bidi="ar_AE"/>
        </w:rPr>
      </w:r>
      <w:r>
        <w:rPr>
          <w:lang w:val="ar_AE" w:bidi="ar_AE"/>
        </w:rPr>
        <w:t>إعادة سرد إنقاذ العبرانيين من مصر، وتأسيس العهد مع الله وممارسات عبادتهم</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يسجِّل الأحداث التي حدثتْ على الأرجح في الفترة من 1526 إلى 1446 قبل الميلاد أو 1350–1270 قبل الميلاد</w:t>
      </w:r>
    </w:p>
    <w:p>
      <w:pPr>
        <w:pStyle w:val="Heading3"/>
        <w:bidi/>
      </w:pPr>
      <w:r>
        <w:rPr>
          <w:lang w:val="ar_AE" w:bidi="ar_AE"/>
        </w:rPr>
        <w:t>السياق</w:t>
      </w:r>
    </w:p>
    <w:p>
      <w:pPr>
        <w:bidi/>
      </w:pPr>
      <w:r>
        <w:rPr>
          <w:lang w:val="ar_AE" w:bidi="ar_AE"/>
        </w:rPr>
      </w:r>
      <w:r>
        <w:rPr>
          <w:lang w:val="ar_AE" w:bidi="ar_AE"/>
        </w:rPr>
        <w:t>يبدأ مع عبوديَّة العبرانيين في مصر، وينتهي بشعب عهد الله في طريقه إلى أرض الميعاد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