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w:t>
      </w:r>
      <w:r>
        <w:rPr>
          <w:lang w:val="en_US" w:bidi="en_US"/>
        </w:rPr>
      </w:r>
    </w:p>
    <w:p>
      <w:pPr/>
      <w:r>
        <w:rPr>
          <w:lang w:val="en_US" w:bidi="en_US"/>
        </w:rPr>
      </w:r>
      <w:r>
        <w:rPr>
          <w:lang w:val="en_US" w:bidi="en_US"/>
        </w:rPr>
        <w:t>The Second Letter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outline the appropriate response to false teachers </w:t>
      </w:r>
    </w:p>
    <w:p>
      <w:pPr>
        <w:pStyle w:val="ListNumber"/>
        <w:spacing w:line="240" w:lineRule="auto"/>
        <w:ind w:left="720"/>
      </w:pPr>
      <w:r>
        <w:rPr>
          <w:lang w:val="en_US" w:bidi="en_US"/>
        </w:rPr>
      </w:r>
      <w:r>
        <w:rPr>
          <w:lang w:val="en_US" w:bidi="en_US"/>
        </w:rPr>
        <w:t>To encourage believers to love one another</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 community of believers (probably in Asia Minor) who had either already encountered false teachers or were likely to do so soon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